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8BC" w:rsidRPr="008D58BC" w:rsidRDefault="008D58BC" w:rsidP="008D58BC">
      <w:pPr>
        <w:pStyle w:val="tytu01"/>
        <w:rPr>
          <w:b w:val="0"/>
        </w:rPr>
      </w:pPr>
      <w:r w:rsidRPr="008D58BC">
        <w:rPr>
          <w:b w:val="0"/>
        </w:rPr>
        <w:t>Klasa 8</w:t>
      </w:r>
    </w:p>
    <w:p w:rsidR="008D58BC" w:rsidRPr="002D6A8D" w:rsidRDefault="008D58BC" w:rsidP="008D58BC">
      <w:pPr>
        <w:pStyle w:val="ListParagraph"/>
        <w:numPr>
          <w:ilvl w:val="0"/>
          <w:numId w:val="1"/>
        </w:numPr>
        <w:spacing w:after="120"/>
        <w:rPr>
          <w:rFonts w:ascii="Calibri" w:hAnsi="Calibri"/>
          <w:b/>
          <w:spacing w:val="-4"/>
          <w:sz w:val="22"/>
          <w:szCs w:val="22"/>
        </w:rPr>
      </w:pPr>
      <w:r>
        <w:rPr>
          <w:rFonts w:ascii="Calibri" w:hAnsi="Calibri"/>
          <w:b/>
          <w:spacing w:val="-4"/>
          <w:sz w:val="22"/>
          <w:szCs w:val="22"/>
        </w:rPr>
        <w:t>Przemiany energii w zjawiskach cieplnych</w:t>
      </w:r>
    </w:p>
    <w:tbl>
      <w:tblPr>
        <w:tblW w:w="14384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8"/>
        <w:gridCol w:w="3119"/>
        <w:gridCol w:w="3119"/>
        <w:gridCol w:w="3119"/>
        <w:gridCol w:w="3119"/>
      </w:tblGrid>
      <w:tr w:rsidR="008D58BC" w:rsidRPr="00D22F46">
        <w:tc>
          <w:tcPr>
            <w:tcW w:w="1908" w:type="dxa"/>
            <w:shd w:val="clear" w:color="auto" w:fill="auto"/>
            <w:tcMar>
              <w:left w:w="28" w:type="dxa"/>
              <w:right w:w="28" w:type="dxa"/>
            </w:tcMar>
          </w:tcPr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Temat według programu</w:t>
            </w:r>
          </w:p>
        </w:tc>
        <w:tc>
          <w:tcPr>
            <w:tcW w:w="3119" w:type="dxa"/>
            <w:shd w:val="clear" w:color="auto" w:fill="auto"/>
          </w:tcPr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(dopuszczająca)</w:t>
            </w:r>
          </w:p>
          <w:p w:rsidR="008D58BC" w:rsidRPr="00D866F0" w:rsidRDefault="008D58BC" w:rsidP="008D58BC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119" w:type="dxa"/>
            <w:shd w:val="clear" w:color="auto" w:fill="auto"/>
          </w:tcPr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(dostateczna)</w:t>
            </w:r>
          </w:p>
          <w:p w:rsidR="008D58BC" w:rsidRPr="00D866F0" w:rsidRDefault="008D58BC" w:rsidP="008D58BC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119" w:type="dxa"/>
            <w:shd w:val="clear" w:color="auto" w:fill="auto"/>
          </w:tcPr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(dobra)</w:t>
            </w:r>
          </w:p>
          <w:p w:rsidR="008D58BC" w:rsidRPr="00D866F0" w:rsidRDefault="008D58BC" w:rsidP="008D58BC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119" w:type="dxa"/>
            <w:shd w:val="clear" w:color="auto" w:fill="auto"/>
          </w:tcPr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Wymagania dopełniające</w:t>
            </w:r>
          </w:p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(b. dobra i celująca)</w:t>
            </w:r>
          </w:p>
          <w:p w:rsidR="008D58BC" w:rsidRPr="00D866F0" w:rsidRDefault="008D58BC" w:rsidP="008D58BC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8D58BC" w:rsidRPr="006D1637">
        <w:tc>
          <w:tcPr>
            <w:tcW w:w="1908" w:type="dxa"/>
            <w:shd w:val="clear" w:color="auto" w:fill="auto"/>
            <w:tcMar>
              <w:left w:w="28" w:type="dxa"/>
              <w:right w:w="28" w:type="dxa"/>
            </w:tcMar>
          </w:tcPr>
          <w:p w:rsidR="008D58BC" w:rsidRPr="00D866F0" w:rsidRDefault="008D58BC" w:rsidP="008D58BC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D866F0">
              <w:rPr>
                <w:rFonts w:ascii="Calibri" w:hAnsi="Calibri"/>
                <w:spacing w:val="-4"/>
                <w:sz w:val="18"/>
                <w:szCs w:val="18"/>
              </w:rPr>
              <w:t xml:space="preserve">7.1. </w:t>
            </w:r>
            <w:r w:rsidRPr="00D866F0">
              <w:rPr>
                <w:rFonts w:ascii="Calibri" w:hAnsi="Calibri"/>
                <w:sz w:val="18"/>
                <w:szCs w:val="18"/>
              </w:rPr>
              <w:t>Energia wewnętrzna i jej zmiana przez wykonanie pracy</w:t>
            </w:r>
          </w:p>
        </w:tc>
        <w:tc>
          <w:tcPr>
            <w:tcW w:w="3119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podaje przykłady, w których na skutek wykonania pracy wzrosła energia wewnętrzna ciała (4.4)</w:t>
            </w:r>
          </w:p>
        </w:tc>
        <w:tc>
          <w:tcPr>
            <w:tcW w:w="3119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wymienia składniki energii wewnętrznej (4.5)</w:t>
            </w:r>
          </w:p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wyjaśnia, dlaczego podczas ruchu z tarciem nie jest spełniona zasada zachowania energii mechanicznej (4.4)</w:t>
            </w:r>
          </w:p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wyjaśnia, dlaczego przyrost temperatury ciała świadczy o wzroście jego energii wewnętrznej (4.5)</w:t>
            </w:r>
          </w:p>
        </w:tc>
        <w:tc>
          <w:tcPr>
            <w:tcW w:w="3119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objaśnia różnice między energią mechaniczną i energią wewnętrzną ciała (3.4 i 4.4)</w:t>
            </w:r>
          </w:p>
        </w:tc>
      </w:tr>
      <w:tr w:rsidR="008D58BC" w:rsidRPr="006D1637">
        <w:tc>
          <w:tcPr>
            <w:tcW w:w="1908" w:type="dxa"/>
            <w:shd w:val="clear" w:color="auto" w:fill="auto"/>
            <w:tcMar>
              <w:left w:w="28" w:type="dxa"/>
              <w:right w:w="28" w:type="dxa"/>
            </w:tcMar>
          </w:tcPr>
          <w:p w:rsidR="008D58BC" w:rsidRPr="00D866F0" w:rsidRDefault="008D58BC" w:rsidP="008D58BC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D866F0">
              <w:rPr>
                <w:rFonts w:ascii="Calibri" w:hAnsi="Calibri"/>
                <w:spacing w:val="-4"/>
                <w:sz w:val="18"/>
                <w:szCs w:val="18"/>
              </w:rPr>
              <w:t xml:space="preserve">7.2. </w:t>
            </w:r>
            <w:r w:rsidRPr="00D866F0">
              <w:rPr>
                <w:rFonts w:ascii="Calibri" w:hAnsi="Calibri"/>
                <w:sz w:val="18"/>
                <w:szCs w:val="18"/>
              </w:rPr>
              <w:t>Cieplny przepływ energii. Rola izolacji cieplnej</w:t>
            </w:r>
          </w:p>
        </w:tc>
        <w:tc>
          <w:tcPr>
            <w:tcW w:w="3119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bada przewodnictwo cieplne i określa, który z materiałów jest lepszym przewodnikiem ciepła (1.3, 1.4, 4.10b)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podaje przykłady przewodników i izolatorów (4.7)</w:t>
            </w:r>
          </w:p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opisuje rolę izolacji cieplnej w życiu codziennym (4.7)</w:t>
            </w:r>
          </w:p>
        </w:tc>
        <w:tc>
          <w:tcPr>
            <w:tcW w:w="3119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opisuje przepływ ciepła (energii) od ciała o wyższej temperaturze do ciała o niższej temperaturze, następujący przy zetknięciu tych ciał (4.4, 4.7)</w:t>
            </w:r>
          </w:p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objaśnia zjawisko przewodzenia ciepła z wykorzystaniem modelu budowy materii (4.7)</w:t>
            </w:r>
          </w:p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rozpoznaje sytuacje, w których ciała pozostają w równowadze termicznej (4.1, 4.3)</w:t>
            </w:r>
          </w:p>
        </w:tc>
        <w:tc>
          <w:tcPr>
            <w:tcW w:w="3119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formułuje jakościowo pierwszą zasadę termodynamiki (1.2)</w:t>
            </w:r>
          </w:p>
        </w:tc>
      </w:tr>
      <w:tr w:rsidR="008D58BC" w:rsidRPr="006D1637">
        <w:tc>
          <w:tcPr>
            <w:tcW w:w="1908" w:type="dxa"/>
            <w:shd w:val="clear" w:color="auto" w:fill="auto"/>
            <w:tcMar>
              <w:left w:w="28" w:type="dxa"/>
              <w:right w:w="28" w:type="dxa"/>
            </w:tcMar>
          </w:tcPr>
          <w:p w:rsidR="008D58BC" w:rsidRPr="00D866F0" w:rsidRDefault="008D58BC" w:rsidP="008D58BC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D866F0">
              <w:rPr>
                <w:rFonts w:ascii="Calibri" w:hAnsi="Calibri"/>
                <w:spacing w:val="-4"/>
                <w:sz w:val="18"/>
                <w:szCs w:val="18"/>
              </w:rPr>
              <w:t xml:space="preserve">7.3. </w:t>
            </w:r>
            <w:r w:rsidRPr="00D866F0">
              <w:rPr>
                <w:rFonts w:ascii="Calibri" w:hAnsi="Calibri"/>
                <w:sz w:val="18"/>
                <w:szCs w:val="18"/>
              </w:rPr>
              <w:t>Zjawisko konwekcji</w:t>
            </w:r>
          </w:p>
        </w:tc>
        <w:tc>
          <w:tcPr>
            <w:tcW w:w="3119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podaje przykłady konwekcji (4.8)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prezentuje doświadczalnie zjawisko konwekcji (4.8)</w:t>
            </w:r>
          </w:p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wyjaśnia pojęcie ciągu kominowego (4.8)</w:t>
            </w:r>
          </w:p>
        </w:tc>
        <w:tc>
          <w:tcPr>
            <w:tcW w:w="3119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wyjaśnia zjawisko konwekcji (4.8)</w:t>
            </w:r>
          </w:p>
          <w:p w:rsidR="008D58BC" w:rsidRPr="00D866F0" w:rsidRDefault="008D58BC" w:rsidP="008D58BC">
            <w:pPr>
              <w:pStyle w:val="tabelakropka"/>
              <w:spacing w:line="252" w:lineRule="auto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opisuje znaczenie konwekcji w prawidłowej wentylacji mieszkań (1.2, 4.8)</w:t>
            </w:r>
          </w:p>
        </w:tc>
        <w:tc>
          <w:tcPr>
            <w:tcW w:w="3119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uzasadnia, dlaczego w cieczach i gazach przepływ energii odbywa się głównie przez konwekcję (1.2, 4.8)</w:t>
            </w:r>
          </w:p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8D58BC" w:rsidRPr="006D1637">
        <w:tc>
          <w:tcPr>
            <w:tcW w:w="1908" w:type="dxa"/>
            <w:shd w:val="clear" w:color="auto" w:fill="auto"/>
            <w:tcMar>
              <w:left w:w="28" w:type="dxa"/>
              <w:right w:w="28" w:type="dxa"/>
            </w:tcMar>
          </w:tcPr>
          <w:p w:rsidR="008D58BC" w:rsidRPr="00D866F0" w:rsidRDefault="008D58BC" w:rsidP="008D58BC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D866F0">
              <w:rPr>
                <w:rFonts w:ascii="Calibri" w:hAnsi="Calibri"/>
                <w:spacing w:val="-4"/>
                <w:sz w:val="18"/>
                <w:szCs w:val="18"/>
              </w:rPr>
              <w:t xml:space="preserve">7.4. </w:t>
            </w:r>
            <w:r w:rsidRPr="00D866F0">
              <w:rPr>
                <w:rFonts w:ascii="Calibri" w:hAnsi="Calibri"/>
                <w:sz w:val="18"/>
                <w:szCs w:val="18"/>
              </w:rPr>
              <w:t>Ciepło właściwe</w:t>
            </w:r>
          </w:p>
        </w:tc>
        <w:tc>
          <w:tcPr>
            <w:tcW w:w="3119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odczytuje z tabeli wartości ciepła właściwego (1.1, 4.6)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analizuje znaczenie dla przyrody dużej wartości ciepła właściwego wody (1.2, 4.6)</w:t>
            </w:r>
          </w:p>
        </w:tc>
        <w:tc>
          <w:tcPr>
            <w:tcW w:w="3119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opisuje zależność zmiany temperatury ciała od ilości dostarczonego lub oddanego ciepła i masy ciała (1.8, 4.6)</w:t>
            </w:r>
          </w:p>
          <w:p w:rsidR="008D58BC" w:rsidRPr="00D866F0" w:rsidRDefault="008D58BC" w:rsidP="008D58BC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 xml:space="preserve">oblicza ciepło właściwe ze wzoru </w:t>
            </w:r>
            <w:r w:rsidRPr="00D866F0">
              <w:rPr>
                <w:position w:val="-20"/>
              </w:rPr>
              <w:object w:dxaOrig="760" w:dyaOrig="4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25.5pt" o:ole="">
                  <v:imagedata r:id="rId5" o:title=""/>
                </v:shape>
                <o:OLEObject Type="Embed" ProgID="Equation.3" ShapeID="_x0000_i1025" DrawAspect="Content" ObjectID="_1849866777" r:id="rId6"/>
              </w:object>
            </w:r>
            <w:r w:rsidRPr="00D866F0">
              <w:rPr>
                <w:szCs w:val="22"/>
              </w:rPr>
              <w:t xml:space="preserve"> (1.6, 4.6)</w:t>
            </w:r>
          </w:p>
        </w:tc>
        <w:tc>
          <w:tcPr>
            <w:tcW w:w="3119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 xml:space="preserve">oblicza każdą wielkość ze wzoru </w:t>
            </w:r>
            <w:r w:rsidRPr="00D866F0">
              <w:fldChar w:fldCharType="begin"/>
            </w:r>
            <w:r w:rsidRPr="00D866F0">
              <w:instrText xml:space="preserve"> QUOTE </w:instrText>
            </w:r>
            <w:r w:rsidR="000D2ED6">
              <w:rPr>
                <w:noProof/>
              </w:rPr>
              <w:drawing>
                <wp:inline distT="0" distB="0" distL="0" distR="0">
                  <wp:extent cx="2981325" cy="800100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6F0">
              <w:instrText xml:space="preserve"> </w:instrText>
            </w:r>
            <w:r w:rsidRPr="00D866F0">
              <w:fldChar w:fldCharType="separate"/>
            </w:r>
            <w:r w:rsidR="000D2ED6">
              <w:rPr>
                <w:noProof/>
              </w:rPr>
              <w:drawing>
                <wp:inline distT="0" distB="0" distL="0" distR="0">
                  <wp:extent cx="2981325" cy="80010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6F0">
              <w:fldChar w:fldCharType="end"/>
            </w:r>
            <w:r w:rsidRPr="00D866F0">
              <w:rPr>
                <w:szCs w:val="22"/>
              </w:rPr>
              <w:t xml:space="preserve"> (4.6)</w:t>
            </w:r>
          </w:p>
        </w:tc>
        <w:tc>
          <w:tcPr>
            <w:tcW w:w="3119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definiuje ciepło właściwe substancji (1.8, 4.6)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wyjaśnia sens fizyczny ciepła właściwego (4.6)</w:t>
            </w:r>
          </w:p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opisuje zasadę działania wymiennika ciepła i chłodnicy (1.1)</w:t>
            </w:r>
          </w:p>
        </w:tc>
      </w:tr>
      <w:tr w:rsidR="008D58BC" w:rsidRPr="006D1637">
        <w:tc>
          <w:tcPr>
            <w:tcW w:w="1908" w:type="dxa"/>
            <w:shd w:val="clear" w:color="auto" w:fill="auto"/>
            <w:tcMar>
              <w:left w:w="28" w:type="dxa"/>
              <w:right w:w="28" w:type="dxa"/>
            </w:tcMar>
          </w:tcPr>
          <w:p w:rsidR="008D58BC" w:rsidRPr="00D866F0" w:rsidRDefault="008D58BC" w:rsidP="008D58BC">
            <w:pPr>
              <w:pStyle w:val="tabelabold"/>
              <w:rPr>
                <w:rFonts w:ascii="Calibri" w:hAnsi="Calibri"/>
                <w:b w:val="0"/>
                <w:szCs w:val="22"/>
              </w:rPr>
            </w:pPr>
            <w:r w:rsidRPr="00D866F0">
              <w:rPr>
                <w:rFonts w:ascii="Calibri" w:hAnsi="Calibri"/>
                <w:b w:val="0"/>
                <w:spacing w:val="-4"/>
                <w:szCs w:val="18"/>
              </w:rPr>
              <w:t>7.5.</w:t>
            </w:r>
            <w:r w:rsidRPr="00D866F0">
              <w:rPr>
                <w:rFonts w:ascii="Calibri" w:hAnsi="Calibri"/>
                <w:b w:val="0"/>
                <w:szCs w:val="22"/>
              </w:rPr>
              <w:t xml:space="preserve">Przemiany energii w zjawiskach topnienia </w:t>
            </w:r>
            <w:r w:rsidRPr="00D866F0">
              <w:rPr>
                <w:rFonts w:ascii="Calibri" w:hAnsi="Calibri"/>
                <w:b w:val="0"/>
                <w:szCs w:val="22"/>
              </w:rPr>
              <w:lastRenderedPageBreak/>
              <w:t>i parowania</w:t>
            </w:r>
          </w:p>
        </w:tc>
        <w:tc>
          <w:tcPr>
            <w:tcW w:w="3119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lastRenderedPageBreak/>
              <w:t>demonstruje zjawiska topnienia, wrzenia i skraplania (1.3, 4.10a)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lastRenderedPageBreak/>
              <w:t>podaje przykład znaczenia w przyrodzie dużej wartości ciepła topnienia lodu (1.2, 4.9)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odczytuje z tabeli temperaturę topnienia i ciepło topnienia (1.1)</w:t>
            </w:r>
          </w:p>
          <w:p w:rsidR="008D58BC" w:rsidRPr="00D866F0" w:rsidRDefault="008D58BC" w:rsidP="008D58BC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odczytuje z tabeli temperaturę wrzenia i ciepło parowania w temperaturze wrzenia (1.1)</w:t>
            </w:r>
          </w:p>
          <w:p w:rsidR="008D58BC" w:rsidRPr="00D866F0" w:rsidRDefault="008D58BC" w:rsidP="008D58BC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podaje przykłady znaczenia w przyrodzie dużej wartości ciepła parowania wody (1.2)</w:t>
            </w:r>
          </w:p>
        </w:tc>
        <w:tc>
          <w:tcPr>
            <w:tcW w:w="3119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lastRenderedPageBreak/>
              <w:t xml:space="preserve">opisuje zjawisko topnienia (stałość temperatury, zmiany energii </w:t>
            </w:r>
            <w:r w:rsidRPr="00D866F0">
              <w:rPr>
                <w:szCs w:val="22"/>
              </w:rPr>
              <w:lastRenderedPageBreak/>
              <w:t>wewnętrznej topniejących ciał) (1.1, 4.9)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opisuje proporcjonalność ilości ciepła potrzebnego do stopienia ciała stałego w temperaturze topnienia do masy tego ciała (1.8, 4.9)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analizuje (energetycznie) zjawiska parowania i wrzenia (4.9)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opisuje proporcjonalność ilości ciepła potrzebnego do wyparowania cieczy do masy tej cieczy (1.8)</w:t>
            </w:r>
          </w:p>
        </w:tc>
        <w:tc>
          <w:tcPr>
            <w:tcW w:w="3119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lastRenderedPageBreak/>
              <w:t xml:space="preserve">wyjaśnia, dlaczego podczas topnienia i krzepnięcia temperatura pozostaje </w:t>
            </w:r>
            <w:r w:rsidRPr="00D866F0">
              <w:rPr>
                <w:szCs w:val="22"/>
              </w:rPr>
              <w:lastRenderedPageBreak/>
              <w:t>stała mimo zmiany energii wewnętrznej (1.2, 4.9)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 xml:space="preserve">oblicza każdą wielkość ze wzoru </w:t>
            </w:r>
            <w:r w:rsidRPr="00D866F0">
              <w:rPr>
                <w:position w:val="-10"/>
              </w:rPr>
              <w:object w:dxaOrig="639" w:dyaOrig="279">
                <v:shape id="_x0000_i1026" type="#_x0000_t75" style="width:30.75pt;height:13.5pt" o:ole="">
                  <v:imagedata r:id="rId8" o:title=""/>
                </v:shape>
                <o:OLEObject Type="Embed" ProgID="Msxml2.SAXXMLReader.5.0" ShapeID="_x0000_i1026" DrawAspect="Content" ObjectID="_1849866778" r:id="rId9"/>
              </w:object>
            </w:r>
            <w:r w:rsidRPr="00D866F0">
              <w:rPr>
                <w:szCs w:val="22"/>
              </w:rPr>
              <w:t xml:space="preserve"> (1.6, 4.9)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 xml:space="preserve">oblicza każdą wielkość ze wzoru </w:t>
            </w:r>
            <w:r w:rsidR="000D2ED6">
              <w:rPr>
                <w:noProof/>
                <w:position w:val="-12"/>
              </w:rPr>
              <w:drawing>
                <wp:inline distT="0" distB="0" distL="0" distR="0">
                  <wp:extent cx="409575" cy="190500"/>
                  <wp:effectExtent l="19050" t="0" r="9525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6F0">
              <w:rPr>
                <w:szCs w:val="22"/>
              </w:rPr>
              <w:t xml:space="preserve"> (1.6, 4.9)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opisuje (na podstawie wiadomości z klasy 7.) zjawiska sublimacji i resublimacji (4.9)</w:t>
            </w:r>
          </w:p>
        </w:tc>
        <w:tc>
          <w:tcPr>
            <w:tcW w:w="3119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lastRenderedPageBreak/>
              <w:t xml:space="preserve">na podstawie proporcjonalności </w:t>
            </w:r>
            <w:r w:rsidR="000D2ED6">
              <w:rPr>
                <w:noProof/>
                <w:position w:val="-8"/>
              </w:rPr>
              <w:drawing>
                <wp:inline distT="0" distB="0" distL="0" distR="0">
                  <wp:extent cx="333375" cy="161925"/>
                  <wp:effectExtent l="1905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6F0">
              <w:rPr>
                <w:szCs w:val="22"/>
              </w:rPr>
              <w:t xml:space="preserve">definiuje ciepło topnienia </w:t>
            </w:r>
            <w:r w:rsidRPr="00D866F0">
              <w:rPr>
                <w:szCs w:val="22"/>
              </w:rPr>
              <w:lastRenderedPageBreak/>
              <w:t>substancji (1.8, 4.9)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wyjaśnia sens fizyczny ciepła topnienia (1.2, 4.9)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 xml:space="preserve">na podstawie proporcjonalności </w:t>
            </w:r>
            <w:r w:rsidR="000D2ED6">
              <w:rPr>
                <w:noProof/>
                <w:position w:val="-8"/>
              </w:rPr>
              <w:drawing>
                <wp:inline distT="0" distB="0" distL="0" distR="0">
                  <wp:extent cx="333375" cy="161925"/>
                  <wp:effectExtent l="19050" t="0" r="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6F0">
              <w:rPr>
                <w:szCs w:val="22"/>
              </w:rPr>
              <w:t xml:space="preserve"> definiuje ciepło parowania (1.8, 4.9)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wyjaśnia sens fizyczny ciepła parowania (1.2)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opisuje zasadę działania chłodziarki (1.1)</w:t>
            </w:r>
          </w:p>
        </w:tc>
      </w:tr>
    </w:tbl>
    <w:p w:rsidR="008D58BC" w:rsidRPr="006D1637" w:rsidRDefault="008D58BC" w:rsidP="008D58BC">
      <w:pPr>
        <w:pStyle w:val="tytu03"/>
        <w:spacing w:before="0"/>
        <w:rPr>
          <w:rFonts w:ascii="Calibri" w:hAnsi="Calibri"/>
          <w:spacing w:val="-4"/>
          <w:szCs w:val="22"/>
        </w:rPr>
      </w:pPr>
      <w:r>
        <w:rPr>
          <w:rFonts w:ascii="Calibri" w:hAnsi="Calibri"/>
          <w:spacing w:val="-4"/>
          <w:szCs w:val="22"/>
        </w:rPr>
        <w:lastRenderedPageBreak/>
        <w:t>8. Drgania i fale sprężyste</w:t>
      </w:r>
    </w:p>
    <w:tbl>
      <w:tblPr>
        <w:tblW w:w="0" w:type="auto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93"/>
        <w:gridCol w:w="3082"/>
        <w:gridCol w:w="3084"/>
        <w:gridCol w:w="3078"/>
        <w:gridCol w:w="3081"/>
      </w:tblGrid>
      <w:tr w:rsidR="008D58BC" w:rsidRPr="005D1A26">
        <w:tc>
          <w:tcPr>
            <w:tcW w:w="1893" w:type="dxa"/>
            <w:shd w:val="clear" w:color="auto" w:fill="auto"/>
            <w:tcMar>
              <w:left w:w="57" w:type="dxa"/>
              <w:right w:w="57" w:type="dxa"/>
            </w:tcMar>
          </w:tcPr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Temat według programu</w:t>
            </w:r>
          </w:p>
        </w:tc>
        <w:tc>
          <w:tcPr>
            <w:tcW w:w="3082" w:type="dxa"/>
            <w:shd w:val="clear" w:color="auto" w:fill="auto"/>
          </w:tcPr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(dopuszczająca)</w:t>
            </w:r>
          </w:p>
          <w:p w:rsidR="008D58BC" w:rsidRPr="00D866F0" w:rsidRDefault="008D58BC" w:rsidP="008D58BC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084" w:type="dxa"/>
            <w:shd w:val="clear" w:color="auto" w:fill="auto"/>
          </w:tcPr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(dostateczna)</w:t>
            </w:r>
          </w:p>
          <w:p w:rsidR="008D58BC" w:rsidRPr="00D866F0" w:rsidRDefault="008D58BC" w:rsidP="008D58BC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078" w:type="dxa"/>
            <w:shd w:val="clear" w:color="auto" w:fill="auto"/>
          </w:tcPr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(dobra)</w:t>
            </w:r>
          </w:p>
          <w:p w:rsidR="008D58BC" w:rsidRPr="00D866F0" w:rsidRDefault="008D58BC" w:rsidP="008D58BC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081" w:type="dxa"/>
            <w:shd w:val="clear" w:color="auto" w:fill="auto"/>
          </w:tcPr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dopełniające </w:t>
            </w:r>
          </w:p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(b. dobra i celująca)</w:t>
            </w:r>
          </w:p>
          <w:p w:rsidR="008D58BC" w:rsidRPr="00D866F0" w:rsidRDefault="008D58BC" w:rsidP="008D58BC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8D58BC" w:rsidRPr="006D1637">
        <w:tc>
          <w:tcPr>
            <w:tcW w:w="1893" w:type="dxa"/>
            <w:shd w:val="clear" w:color="auto" w:fill="auto"/>
            <w:tcMar>
              <w:left w:w="57" w:type="dxa"/>
              <w:right w:w="57" w:type="dxa"/>
            </w:tcMar>
          </w:tcPr>
          <w:p w:rsidR="008D58BC" w:rsidRPr="00D866F0" w:rsidRDefault="008D58BC" w:rsidP="008D58BC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D866F0">
              <w:rPr>
                <w:rFonts w:ascii="Calibri" w:hAnsi="Calibri"/>
                <w:spacing w:val="-4"/>
                <w:sz w:val="18"/>
                <w:szCs w:val="18"/>
              </w:rPr>
              <w:t xml:space="preserve">8.1. </w:t>
            </w:r>
            <w:r w:rsidRPr="00D866F0">
              <w:rPr>
                <w:rFonts w:ascii="Calibri" w:hAnsi="Calibri"/>
                <w:sz w:val="18"/>
                <w:szCs w:val="18"/>
              </w:rPr>
              <w:t>Ruch drgający. Przemiany energii mechanicznej w ruchu drgającym</w:t>
            </w:r>
          </w:p>
        </w:tc>
        <w:tc>
          <w:tcPr>
            <w:tcW w:w="3082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wskazuje w otoczeniu przykłady ciał wykonujących ruch drgający (8.1)</w:t>
            </w:r>
          </w:p>
        </w:tc>
        <w:tc>
          <w:tcPr>
            <w:tcW w:w="3084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podaje znaczenie pojęć: położenie równowagi, wychylenie, amplituda, okres, częstotliwość (8.1)</w:t>
            </w:r>
          </w:p>
        </w:tc>
        <w:tc>
          <w:tcPr>
            <w:tcW w:w="3078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 xml:space="preserve">odczytuje amplitudę i okres z wykresu </w:t>
            </w:r>
            <w:r w:rsidR="000D2ED6">
              <w:rPr>
                <w:noProof/>
                <w:position w:val="-10"/>
              </w:rPr>
              <w:drawing>
                <wp:inline distT="0" distB="0" distL="0" distR="0">
                  <wp:extent cx="238125" cy="171450"/>
                  <wp:effectExtent l="0" t="0" r="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6F0">
              <w:rPr>
                <w:szCs w:val="22"/>
              </w:rPr>
              <w:t xml:space="preserve"> dla drgającego ciała (1.1, 8.1, 8.3)</w:t>
            </w:r>
          </w:p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opisuje ruch wahadła i ciężarka na sprężynie oraz analizuje przemiany energii mechanicznej w tych ruchach (1.2, 8.2)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8D58BC" w:rsidRPr="006D1637">
        <w:tc>
          <w:tcPr>
            <w:tcW w:w="1893" w:type="dxa"/>
            <w:shd w:val="clear" w:color="auto" w:fill="auto"/>
            <w:tcMar>
              <w:left w:w="57" w:type="dxa"/>
              <w:right w:w="57" w:type="dxa"/>
            </w:tcMar>
          </w:tcPr>
          <w:p w:rsidR="008D58BC" w:rsidRPr="00D866F0" w:rsidRDefault="008D58BC" w:rsidP="008D58BC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D866F0">
              <w:rPr>
                <w:rFonts w:ascii="Calibri" w:hAnsi="Calibri"/>
                <w:spacing w:val="-4"/>
                <w:sz w:val="18"/>
                <w:szCs w:val="18"/>
              </w:rPr>
              <w:t xml:space="preserve">8.2. </w:t>
            </w:r>
            <w:r w:rsidRPr="00D866F0">
              <w:rPr>
                <w:rFonts w:ascii="Calibri" w:hAnsi="Calibri"/>
                <w:sz w:val="18"/>
                <w:szCs w:val="18"/>
              </w:rPr>
              <w:t>Wahadło. Wyznaczanie okresu i częstotliwości drgań</w:t>
            </w:r>
          </w:p>
        </w:tc>
        <w:tc>
          <w:tcPr>
            <w:tcW w:w="3082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84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doświadczalnie wyznacza okres i częstotliwość drgań wahadła lub ciężarka na sprężynie (1.3, 1.4, 1.5, 8.9a)</w:t>
            </w:r>
          </w:p>
        </w:tc>
        <w:tc>
          <w:tcPr>
            <w:tcW w:w="3078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opisuje zjawisko izochronizmu wahadła (8.9a)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8D58BC" w:rsidRPr="006D1637">
        <w:tc>
          <w:tcPr>
            <w:tcW w:w="1893" w:type="dxa"/>
            <w:shd w:val="clear" w:color="auto" w:fill="auto"/>
            <w:tcMar>
              <w:left w:w="57" w:type="dxa"/>
              <w:right w:w="57" w:type="dxa"/>
            </w:tcMar>
          </w:tcPr>
          <w:p w:rsidR="008D58BC" w:rsidRPr="00D866F0" w:rsidRDefault="008D58BC" w:rsidP="008D58BC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D866F0">
              <w:rPr>
                <w:rFonts w:ascii="Calibri" w:hAnsi="Calibri"/>
                <w:spacing w:val="-4"/>
                <w:sz w:val="18"/>
                <w:szCs w:val="18"/>
              </w:rPr>
              <w:t xml:space="preserve">8.3. </w:t>
            </w:r>
            <w:r w:rsidRPr="00D866F0">
              <w:rPr>
                <w:rFonts w:ascii="Calibri" w:hAnsi="Calibri"/>
                <w:sz w:val="18"/>
                <w:szCs w:val="18"/>
              </w:rPr>
              <w:t>Fala sprężysta. Wielkości, które opisują falę sprężystą, i związki między nimi</w:t>
            </w:r>
          </w:p>
        </w:tc>
        <w:tc>
          <w:tcPr>
            <w:tcW w:w="3082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demonstruje falę poprzeczną i falę podłużną (8.4)</w:t>
            </w:r>
          </w:p>
        </w:tc>
        <w:tc>
          <w:tcPr>
            <w:tcW w:w="3084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podaje różnice między falami poprzecznymi i falami podłużnymi (8.4)</w:t>
            </w:r>
          </w:p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posługuje się pojęciami: długość fali, szybkość rozchodzenia się fali, kierunek rozchodzenia się fali (8.5)</w:t>
            </w:r>
          </w:p>
        </w:tc>
        <w:tc>
          <w:tcPr>
            <w:tcW w:w="3078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 xml:space="preserve">stosuje wzory </w:t>
            </w:r>
            <w:r w:rsidR="000D2ED6">
              <w:rPr>
                <w:noProof/>
                <w:position w:val="-6"/>
              </w:rPr>
              <w:drawing>
                <wp:inline distT="0" distB="0" distL="0" distR="0">
                  <wp:extent cx="371475" cy="152400"/>
                  <wp:effectExtent l="19050" t="0" r="9525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6F0">
              <w:rPr>
                <w:szCs w:val="22"/>
              </w:rPr>
              <w:t xml:space="preserve">oraz </w:t>
            </w:r>
            <w:r w:rsidR="000D2ED6">
              <w:rPr>
                <w:noProof/>
                <w:position w:val="-24"/>
              </w:rPr>
              <w:drawing>
                <wp:inline distT="0" distB="0" distL="0" distR="0">
                  <wp:extent cx="333375" cy="333375"/>
                  <wp:effectExtent l="0" t="0" r="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6F0">
              <w:rPr>
                <w:szCs w:val="22"/>
              </w:rPr>
              <w:t xml:space="preserve"> do obliczeń (1.6, 8.5)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opisuje mechanizm przekazywania drgań w przypadku fali na napiętej linie i fal dźwiękowych w powietrzu (8.4)</w:t>
            </w:r>
          </w:p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8D58BC" w:rsidRPr="006D1637">
        <w:tc>
          <w:tcPr>
            <w:tcW w:w="1893" w:type="dxa"/>
            <w:shd w:val="clear" w:color="auto" w:fill="auto"/>
            <w:tcMar>
              <w:left w:w="57" w:type="dxa"/>
              <w:right w:w="57" w:type="dxa"/>
            </w:tcMar>
          </w:tcPr>
          <w:p w:rsidR="008D58BC" w:rsidRPr="00D866F0" w:rsidRDefault="008D58BC" w:rsidP="008D58BC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D866F0">
              <w:rPr>
                <w:rFonts w:ascii="Calibri" w:hAnsi="Calibri"/>
                <w:sz w:val="18"/>
                <w:szCs w:val="18"/>
              </w:rPr>
              <w:t>8.4. Dźwięki i wielkości, które je opisują. Ultradźwięki i infradźwięki</w:t>
            </w:r>
          </w:p>
        </w:tc>
        <w:tc>
          <w:tcPr>
            <w:tcW w:w="3082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spacing w:before="0"/>
              <w:rPr>
                <w:szCs w:val="22"/>
              </w:rPr>
            </w:pPr>
            <w:r w:rsidRPr="00D866F0">
              <w:rPr>
                <w:szCs w:val="22"/>
              </w:rPr>
              <w:t>podaje przykłady źródeł dźwięku (8.6)</w:t>
            </w:r>
          </w:p>
          <w:p w:rsidR="008D58BC" w:rsidRPr="00D866F0" w:rsidRDefault="008D58BC" w:rsidP="008D58BC">
            <w:pPr>
              <w:pStyle w:val="tabelakropka"/>
              <w:spacing w:before="0"/>
              <w:rPr>
                <w:szCs w:val="22"/>
              </w:rPr>
            </w:pPr>
            <w:r w:rsidRPr="00D866F0">
              <w:rPr>
                <w:szCs w:val="22"/>
              </w:rPr>
              <w:t>demonstruje wytwarzanie dźwięków w przedmiotach drgających i instrumentach muzycznych (8.9b)</w:t>
            </w:r>
          </w:p>
          <w:p w:rsidR="008D58BC" w:rsidRPr="00D866F0" w:rsidRDefault="008D58BC" w:rsidP="008D58BC">
            <w:pPr>
              <w:pStyle w:val="tabelakropka"/>
              <w:spacing w:before="0"/>
              <w:rPr>
                <w:szCs w:val="22"/>
              </w:rPr>
            </w:pPr>
            <w:r w:rsidRPr="00D866F0">
              <w:rPr>
                <w:szCs w:val="22"/>
              </w:rPr>
              <w:lastRenderedPageBreak/>
              <w:t>wymienia, od jakich wielkości fizycznych zależy wysokość i głośność dźwięku (8.7)</w:t>
            </w:r>
          </w:p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wyjaśnia, co nazywamy ultradźwiękami i infradźwiękami (8.8)</w:t>
            </w:r>
          </w:p>
        </w:tc>
        <w:tc>
          <w:tcPr>
            <w:tcW w:w="3084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lastRenderedPageBreak/>
              <w:t>opisuje mechanizm powstawania dźwięków w powietrzu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obserwuje oscylogramy dźwięków z wykorzystaniem komputera (8.9c)</w:t>
            </w:r>
          </w:p>
        </w:tc>
        <w:tc>
          <w:tcPr>
            <w:tcW w:w="3078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podaje cechy fali dźwiękowej (częstotliwość 20–20 000 Hz, fala podłużna) (8.8)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opisuje występowanie w przyrodzie infradźwięków i ultradźwięków oraz ich zastosowanie (8.8)</w:t>
            </w:r>
          </w:p>
        </w:tc>
      </w:tr>
    </w:tbl>
    <w:p w:rsidR="008D58BC" w:rsidRPr="006D1637" w:rsidRDefault="008D58BC" w:rsidP="008D58BC">
      <w:pPr>
        <w:pStyle w:val="tytu03"/>
        <w:spacing w:before="0"/>
        <w:rPr>
          <w:rFonts w:ascii="Calibri" w:hAnsi="Calibri"/>
          <w:spacing w:val="-4"/>
          <w:szCs w:val="22"/>
        </w:rPr>
      </w:pPr>
      <w:r>
        <w:rPr>
          <w:rFonts w:ascii="Calibri" w:hAnsi="Calibri"/>
          <w:spacing w:val="-4"/>
          <w:szCs w:val="22"/>
        </w:rPr>
        <w:lastRenderedPageBreak/>
        <w:t>9. O elektryczności statycznej</w:t>
      </w:r>
    </w:p>
    <w:tbl>
      <w:tblPr>
        <w:tblW w:w="0" w:type="auto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00"/>
        <w:gridCol w:w="3074"/>
        <w:gridCol w:w="3082"/>
        <w:gridCol w:w="3081"/>
        <w:gridCol w:w="3081"/>
      </w:tblGrid>
      <w:tr w:rsidR="008D58BC" w:rsidRPr="006D1637">
        <w:tc>
          <w:tcPr>
            <w:tcW w:w="1900" w:type="dxa"/>
            <w:shd w:val="clear" w:color="auto" w:fill="auto"/>
            <w:tcMar>
              <w:left w:w="57" w:type="dxa"/>
              <w:right w:w="57" w:type="dxa"/>
            </w:tcMar>
          </w:tcPr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Temat według programu</w:t>
            </w:r>
          </w:p>
        </w:tc>
        <w:tc>
          <w:tcPr>
            <w:tcW w:w="3074" w:type="dxa"/>
            <w:shd w:val="clear" w:color="auto" w:fill="auto"/>
          </w:tcPr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(dopuszczająca)</w:t>
            </w:r>
          </w:p>
          <w:p w:rsidR="008D58BC" w:rsidRPr="00D866F0" w:rsidRDefault="008D58BC" w:rsidP="008D58BC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082" w:type="dxa"/>
            <w:shd w:val="clear" w:color="auto" w:fill="auto"/>
          </w:tcPr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(dostateczna)</w:t>
            </w:r>
          </w:p>
          <w:p w:rsidR="008D58BC" w:rsidRPr="00D866F0" w:rsidRDefault="008D58BC" w:rsidP="008D58BC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081" w:type="dxa"/>
            <w:shd w:val="clear" w:color="auto" w:fill="auto"/>
          </w:tcPr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(dobra)</w:t>
            </w:r>
          </w:p>
          <w:p w:rsidR="008D58BC" w:rsidRPr="00D866F0" w:rsidRDefault="008D58BC" w:rsidP="008D58BC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081" w:type="dxa"/>
            <w:shd w:val="clear" w:color="auto" w:fill="auto"/>
          </w:tcPr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dopełniające </w:t>
            </w:r>
          </w:p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(b. dobra i celująca)</w:t>
            </w:r>
          </w:p>
          <w:p w:rsidR="008D58BC" w:rsidRPr="00D866F0" w:rsidRDefault="008D58BC" w:rsidP="008D58BC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8D58BC" w:rsidRPr="006D1637">
        <w:tc>
          <w:tcPr>
            <w:tcW w:w="1900" w:type="dxa"/>
            <w:shd w:val="clear" w:color="auto" w:fill="auto"/>
            <w:tcMar>
              <w:left w:w="57" w:type="dxa"/>
              <w:right w:w="57" w:type="dxa"/>
            </w:tcMar>
          </w:tcPr>
          <w:p w:rsidR="008D58BC" w:rsidRPr="00D866F0" w:rsidRDefault="008D58BC" w:rsidP="008D58BC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D866F0">
              <w:rPr>
                <w:rFonts w:ascii="Calibri" w:hAnsi="Calibri"/>
                <w:b w:val="0"/>
                <w:spacing w:val="-4"/>
                <w:szCs w:val="18"/>
              </w:rPr>
              <w:t xml:space="preserve">9.1. </w:t>
            </w:r>
            <w:r w:rsidRPr="00D866F0">
              <w:rPr>
                <w:rFonts w:ascii="Calibri" w:hAnsi="Calibri"/>
                <w:b w:val="0"/>
                <w:szCs w:val="22"/>
              </w:rPr>
              <w:t>Elektryzowanie ciała przez tarcie i dotyk</w:t>
            </w:r>
          </w:p>
        </w:tc>
        <w:tc>
          <w:tcPr>
            <w:tcW w:w="3074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wskazuje w otoczeniu zjawiska elektryzowania przez tarcie i dotyk (6.1)</w:t>
            </w:r>
          </w:p>
          <w:p w:rsidR="008D58BC" w:rsidRPr="00D866F0" w:rsidRDefault="008D58BC" w:rsidP="008D58BC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demonstruje zjawisko elektryzowania przez tarcie i dotyk (1.4, 6.16a)</w:t>
            </w:r>
          </w:p>
        </w:tc>
        <w:tc>
          <w:tcPr>
            <w:tcW w:w="3082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opisuje budowę atomu i jego składniki (6.1, 6.6)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określa jednostkę ładunku (</w:t>
            </w:r>
            <w:smartTag w:uri="urn:schemas-microsoft-com:office:smarttags" w:element="metricconverter">
              <w:smartTagPr>
                <w:attr w:name="ProductID" w:val="1 C"/>
              </w:smartTagPr>
              <w:r w:rsidRPr="00D866F0">
                <w:rPr>
                  <w:szCs w:val="22"/>
                </w:rPr>
                <w:t>1 C</w:t>
              </w:r>
            </w:smartTag>
            <w:r w:rsidRPr="00D866F0">
              <w:rPr>
                <w:szCs w:val="22"/>
              </w:rPr>
              <w:t>) jako wielokrotność ładunku elementarnego (6.6)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wyjaśnia elektryzowanie przez tarcie i dotyk, analizuje przepływ elektronów (6.1)</w:t>
            </w:r>
          </w:p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wyjaśnia pojęcie jonu (6.1)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8D58BC" w:rsidRPr="006D1637">
        <w:tc>
          <w:tcPr>
            <w:tcW w:w="1900" w:type="dxa"/>
            <w:shd w:val="clear" w:color="auto" w:fill="auto"/>
            <w:tcMar>
              <w:left w:w="57" w:type="dxa"/>
              <w:right w:w="57" w:type="dxa"/>
            </w:tcMar>
          </w:tcPr>
          <w:p w:rsidR="008D58BC" w:rsidRPr="00D866F0" w:rsidRDefault="008D58BC" w:rsidP="008D58BC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D866F0">
              <w:rPr>
                <w:rFonts w:ascii="Calibri" w:hAnsi="Calibri"/>
                <w:b w:val="0"/>
                <w:spacing w:val="-4"/>
                <w:szCs w:val="18"/>
              </w:rPr>
              <w:t xml:space="preserve">9.2. </w:t>
            </w:r>
            <w:r w:rsidRPr="00D866F0">
              <w:rPr>
                <w:rFonts w:ascii="Calibri" w:hAnsi="Calibri"/>
                <w:b w:val="0"/>
                <w:szCs w:val="22"/>
              </w:rPr>
              <w:t>Siły wzajemnego oddziaływania ciał naelektryzowanych</w:t>
            </w:r>
          </w:p>
        </w:tc>
        <w:tc>
          <w:tcPr>
            <w:tcW w:w="3074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 w:hanging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82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bada jakościowo oddziaływanie między ciałami naelektryzowanymi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formułuje ogólne wnioski z badań nad oddziaływaniem ciał naelektryzowanych (1.2, 1.3)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8D58BC" w:rsidRPr="006D1637">
        <w:tc>
          <w:tcPr>
            <w:tcW w:w="1900" w:type="dxa"/>
            <w:shd w:val="clear" w:color="auto" w:fill="auto"/>
            <w:tcMar>
              <w:left w:w="57" w:type="dxa"/>
              <w:right w:w="57" w:type="dxa"/>
            </w:tcMar>
          </w:tcPr>
          <w:p w:rsidR="008D58BC" w:rsidRPr="00D866F0" w:rsidRDefault="008D58BC" w:rsidP="008D58BC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D866F0">
              <w:rPr>
                <w:rFonts w:ascii="Calibri" w:hAnsi="Calibri"/>
                <w:b w:val="0"/>
                <w:spacing w:val="-4"/>
                <w:szCs w:val="18"/>
              </w:rPr>
              <w:t xml:space="preserve">9.3. </w:t>
            </w:r>
            <w:r w:rsidRPr="00D866F0">
              <w:rPr>
                <w:rFonts w:ascii="Calibri" w:hAnsi="Calibri"/>
                <w:b w:val="0"/>
                <w:szCs w:val="22"/>
              </w:rPr>
              <w:t>Przewodniki i izolatory</w:t>
            </w:r>
          </w:p>
        </w:tc>
        <w:tc>
          <w:tcPr>
            <w:tcW w:w="3074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podaje przykłady przewodników i izolatorów (6.3, 6.16c)</w:t>
            </w:r>
          </w:p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82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opisuje budowę przewodników i izolatorów, wyjaśnia rolę elektronów swobodnych (6.3)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 xml:space="preserve">wyjaśnia, jak rozmieszczony jest </w:t>
            </w:r>
            <w:r w:rsidRPr="00D866F0">
              <w:rPr>
                <w:b/>
                <w:szCs w:val="22"/>
              </w:rPr>
              <w:t>–</w:t>
            </w:r>
            <w:r w:rsidRPr="00D866F0">
              <w:rPr>
                <w:szCs w:val="22"/>
              </w:rPr>
              <w:t>uzyskany na skutek naelektryzowania</w:t>
            </w:r>
            <w:r w:rsidRPr="00D866F0">
              <w:rPr>
                <w:b/>
                <w:szCs w:val="22"/>
              </w:rPr>
              <w:t>–</w:t>
            </w:r>
            <w:r w:rsidRPr="00D866F0">
              <w:rPr>
                <w:szCs w:val="22"/>
              </w:rPr>
              <w:t xml:space="preserve"> ładunek w przewodniku, a jak w izolatorze (6.3)</w:t>
            </w:r>
          </w:p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wyjaśnia uziemianie ciał (6.3)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opisuje mechanizm zobojętniania ciał naelektryzowanych (metali i izolatorów) (6.3)</w:t>
            </w:r>
          </w:p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8D58BC" w:rsidRPr="006D1637">
        <w:tc>
          <w:tcPr>
            <w:tcW w:w="1900" w:type="dxa"/>
            <w:shd w:val="clear" w:color="auto" w:fill="auto"/>
            <w:tcMar>
              <w:left w:w="57" w:type="dxa"/>
              <w:right w:w="57" w:type="dxa"/>
            </w:tcMar>
          </w:tcPr>
          <w:p w:rsidR="008D58BC" w:rsidRPr="00D866F0" w:rsidRDefault="008D58BC" w:rsidP="008D58BC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D866F0">
              <w:rPr>
                <w:rFonts w:ascii="Calibri" w:hAnsi="Calibri"/>
                <w:b w:val="0"/>
                <w:szCs w:val="22"/>
              </w:rPr>
              <w:t>9.4. Zjawisko indukcji elektrostatycznej. Zasada zachowania ładunku. Zasada działania elektroskopu</w:t>
            </w:r>
          </w:p>
        </w:tc>
        <w:tc>
          <w:tcPr>
            <w:tcW w:w="3074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demonstruje elektryzowanie przez indukcję (6.4)</w:t>
            </w:r>
          </w:p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82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opisuje budowę i zasadę działania elektroskopu (6.5)</w:t>
            </w:r>
          </w:p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zCs w:val="18"/>
              </w:rPr>
            </w:pPr>
            <w:r w:rsidRPr="00D866F0">
              <w:rPr>
                <w:szCs w:val="22"/>
              </w:rPr>
              <w:t>analizuje przepływ ładunków podczas elektryzowania przez tarcie i dotyk, stosując zasadę zachowania ładunku (6.4)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na podstawie doświadczeń z elektroskopem formułuje i wyjaśnia zasadę zachowania ładunku (6.4)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8D58BC" w:rsidRPr="006D1637">
        <w:tc>
          <w:tcPr>
            <w:tcW w:w="1900" w:type="dxa"/>
            <w:shd w:val="clear" w:color="auto" w:fill="auto"/>
            <w:tcMar>
              <w:left w:w="57" w:type="dxa"/>
              <w:right w:w="57" w:type="dxa"/>
            </w:tcMar>
          </w:tcPr>
          <w:p w:rsidR="008D58BC" w:rsidRPr="00D866F0" w:rsidRDefault="008D58BC" w:rsidP="008D58BC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D866F0">
              <w:rPr>
                <w:rFonts w:ascii="Calibri" w:hAnsi="Calibri"/>
                <w:b w:val="0"/>
                <w:szCs w:val="22"/>
              </w:rPr>
              <w:t>9.5. Pole elektryczne</w:t>
            </w:r>
          </w:p>
        </w:tc>
        <w:tc>
          <w:tcPr>
            <w:tcW w:w="3074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spacing w:before="20" w:after="20"/>
              <w:ind w:left="170" w:hanging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82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posługuje się pojęciem pola elektrostatycznego do wyjaśnienia zachowania się nitek lub bibułek przymocowanych do naelektryzowanej kulki (1.1)</w:t>
            </w:r>
          </w:p>
          <w:p w:rsidR="008D58BC" w:rsidRPr="00D866F0" w:rsidRDefault="008D58BC" w:rsidP="008D58BC">
            <w:pPr>
              <w:pStyle w:val="tabelakropka"/>
              <w:spacing w:before="20" w:after="20"/>
              <w:rPr>
                <w:rFonts w:ascii="Calibri" w:hAnsi="Calibri"/>
                <w:szCs w:val="18"/>
              </w:rPr>
            </w:pPr>
            <w:r w:rsidRPr="00D866F0">
              <w:rPr>
                <w:szCs w:val="22"/>
              </w:rPr>
              <w:lastRenderedPageBreak/>
              <w:t>rozróżnia pole centralne i jednorodne (1.1)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wyjaśnia oddziaływanie na odległość ciał naelektryzowanych z użyciem pojęcia pola elektrostatycznego (1.1)</w:t>
            </w:r>
          </w:p>
        </w:tc>
      </w:tr>
    </w:tbl>
    <w:p w:rsidR="008D58BC" w:rsidRPr="006D1637" w:rsidRDefault="008D58BC" w:rsidP="008D58BC">
      <w:pPr>
        <w:pStyle w:val="tytu03"/>
        <w:spacing w:before="0"/>
        <w:rPr>
          <w:rFonts w:ascii="Calibri" w:hAnsi="Calibri"/>
          <w:spacing w:val="-4"/>
          <w:szCs w:val="22"/>
        </w:rPr>
      </w:pPr>
      <w:r>
        <w:rPr>
          <w:rFonts w:ascii="Calibri" w:hAnsi="Calibri"/>
          <w:spacing w:val="-4"/>
          <w:szCs w:val="22"/>
        </w:rPr>
        <w:lastRenderedPageBreak/>
        <w:t>10. O prądzie elektrycznym</w:t>
      </w:r>
    </w:p>
    <w:tbl>
      <w:tblPr>
        <w:tblW w:w="0" w:type="auto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92"/>
        <w:gridCol w:w="3081"/>
        <w:gridCol w:w="3078"/>
        <w:gridCol w:w="3083"/>
        <w:gridCol w:w="3084"/>
      </w:tblGrid>
      <w:tr w:rsidR="008D58BC" w:rsidRPr="006D1637">
        <w:tc>
          <w:tcPr>
            <w:tcW w:w="1892" w:type="dxa"/>
            <w:shd w:val="clear" w:color="auto" w:fill="auto"/>
            <w:tcMar>
              <w:left w:w="28" w:type="dxa"/>
              <w:right w:w="28" w:type="dxa"/>
            </w:tcMar>
          </w:tcPr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Temat według programu</w:t>
            </w:r>
          </w:p>
        </w:tc>
        <w:tc>
          <w:tcPr>
            <w:tcW w:w="3081" w:type="dxa"/>
            <w:shd w:val="clear" w:color="auto" w:fill="auto"/>
          </w:tcPr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(dopuszczająca)</w:t>
            </w:r>
          </w:p>
          <w:p w:rsidR="008D58BC" w:rsidRPr="00D866F0" w:rsidRDefault="008D58BC" w:rsidP="008D58BC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078" w:type="dxa"/>
            <w:shd w:val="clear" w:color="auto" w:fill="auto"/>
          </w:tcPr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(dostateczna)</w:t>
            </w:r>
          </w:p>
          <w:p w:rsidR="008D58BC" w:rsidRPr="00D866F0" w:rsidRDefault="008D58BC" w:rsidP="008D58BC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083" w:type="dxa"/>
            <w:shd w:val="clear" w:color="auto" w:fill="auto"/>
          </w:tcPr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(dobra)</w:t>
            </w:r>
          </w:p>
          <w:p w:rsidR="008D58BC" w:rsidRPr="00D866F0" w:rsidRDefault="008D58BC" w:rsidP="008D58BC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084" w:type="dxa"/>
            <w:shd w:val="clear" w:color="auto" w:fill="auto"/>
          </w:tcPr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dopełniające </w:t>
            </w:r>
          </w:p>
          <w:p w:rsidR="008D58BC" w:rsidRPr="008D58BC" w:rsidRDefault="008D58BC" w:rsidP="008D58BC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(b. dobra i celująca)</w:t>
            </w:r>
          </w:p>
          <w:p w:rsidR="008D58BC" w:rsidRPr="00D866F0" w:rsidRDefault="008D58BC" w:rsidP="008D58BC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8D58BC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8D58BC" w:rsidRPr="006D1637">
        <w:tc>
          <w:tcPr>
            <w:tcW w:w="1892" w:type="dxa"/>
            <w:shd w:val="clear" w:color="auto" w:fill="auto"/>
            <w:tcMar>
              <w:left w:w="28" w:type="dxa"/>
              <w:right w:w="28" w:type="dxa"/>
            </w:tcMar>
          </w:tcPr>
          <w:p w:rsidR="008D58BC" w:rsidRPr="00D866F0" w:rsidRDefault="008D58BC" w:rsidP="008D58BC">
            <w:pPr>
              <w:rPr>
                <w:rFonts w:ascii="Calibri" w:hAnsi="Calibri"/>
                <w:spacing w:val="-4"/>
                <w:sz w:val="18"/>
                <w:szCs w:val="18"/>
              </w:rPr>
            </w:pPr>
            <w:r w:rsidRPr="00D866F0">
              <w:rPr>
                <w:rFonts w:ascii="Calibri" w:hAnsi="Calibri"/>
                <w:spacing w:val="-4"/>
                <w:sz w:val="18"/>
                <w:szCs w:val="18"/>
              </w:rPr>
              <w:t>10.1.</w:t>
            </w:r>
            <w:r w:rsidRPr="00D866F0">
              <w:rPr>
                <w:rFonts w:ascii="Calibri" w:hAnsi="Calibri"/>
                <w:sz w:val="18"/>
                <w:szCs w:val="18"/>
              </w:rPr>
              <w:t>Prąd elektryczny w metalach. Napięcie elektryczne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opisuje przepływ prądu w przewodnikach jako ruch elektronów swobodnych (6.7)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posługuje się intuicyjnie pojęciem napięcia elektrycznego (6.9)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podaje jednostkę napięcia (1 V) (6.9)</w:t>
            </w:r>
          </w:p>
          <w:p w:rsidR="008D58BC" w:rsidRPr="00D866F0" w:rsidRDefault="008D58BC" w:rsidP="008D58BC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wskazuje woltomierz jako przyrząd do pomiaru napięcia  (6.9)</w:t>
            </w:r>
          </w:p>
        </w:tc>
        <w:tc>
          <w:tcPr>
            <w:tcW w:w="3078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opisuje przemiany energii w przewodniku, między końcami którego wytworzono napięcie (6.9)</w:t>
            </w:r>
          </w:p>
        </w:tc>
        <w:tc>
          <w:tcPr>
            <w:tcW w:w="3083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zapisuje i wyjaśnia wzór</w:t>
            </w:r>
          </w:p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ind w:left="170"/>
              <w:rPr>
                <w:szCs w:val="22"/>
              </w:rPr>
            </w:pPr>
            <w:r w:rsidRPr="00D866F0">
              <w:rPr>
                <w:position w:val="-22"/>
              </w:rPr>
              <w:object w:dxaOrig="1160" w:dyaOrig="520">
                <v:shape id="_x0000_i1027" type="#_x0000_t75" style="width:57.75pt;height:26.25pt" o:ole="">
                  <v:imagedata r:id="rId15" o:title=""/>
                </v:shape>
                <o:OLEObject Type="Embed" ProgID="Equation.3" ShapeID="_x0000_i1027" DrawAspect="Content" ObjectID="_1849866779" r:id="rId16"/>
              </w:objec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wymienia i opisuje skutki przepływu prądu w przewodnikach (6.11)</w:t>
            </w:r>
          </w:p>
        </w:tc>
        <w:tc>
          <w:tcPr>
            <w:tcW w:w="3084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wskazuje skutki przerwania dostaw energii elektrycznej do urządzeń o kluczowym znaczeniu (6.15)</w:t>
            </w:r>
          </w:p>
        </w:tc>
      </w:tr>
      <w:tr w:rsidR="008D58BC" w:rsidRPr="006D1637">
        <w:tc>
          <w:tcPr>
            <w:tcW w:w="1892" w:type="dxa"/>
            <w:shd w:val="clear" w:color="auto" w:fill="auto"/>
            <w:tcMar>
              <w:left w:w="28" w:type="dxa"/>
              <w:right w:w="28" w:type="dxa"/>
            </w:tcMar>
          </w:tcPr>
          <w:p w:rsidR="008D58BC" w:rsidRPr="00D866F0" w:rsidRDefault="008D58BC" w:rsidP="008D58BC">
            <w:pPr>
              <w:rPr>
                <w:rFonts w:ascii="Calibri" w:hAnsi="Calibri"/>
                <w:spacing w:val="-4"/>
                <w:sz w:val="18"/>
                <w:szCs w:val="18"/>
              </w:rPr>
            </w:pPr>
            <w:r w:rsidRPr="00D866F0">
              <w:rPr>
                <w:rFonts w:ascii="Calibri" w:hAnsi="Calibri"/>
                <w:spacing w:val="-4"/>
                <w:sz w:val="18"/>
                <w:szCs w:val="18"/>
              </w:rPr>
              <w:t xml:space="preserve">10.2. </w:t>
            </w:r>
            <w:r w:rsidRPr="00D866F0">
              <w:rPr>
                <w:rFonts w:ascii="Calibri" w:hAnsi="Calibri"/>
                <w:sz w:val="18"/>
                <w:szCs w:val="18"/>
              </w:rPr>
              <w:t>Źródła napięcia. Obwód elektryczny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wymienia źródła napięcia: ogniwo, akumulator, prądnica (6.9)</w:t>
            </w:r>
          </w:p>
        </w:tc>
        <w:tc>
          <w:tcPr>
            <w:tcW w:w="3078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rysuje schemat prostego obwodu elektrycznego z użyciem symboli elementów wchodzących w jego skład (6.13)</w:t>
            </w:r>
          </w:p>
        </w:tc>
        <w:tc>
          <w:tcPr>
            <w:tcW w:w="3083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wskazuje kierunek przepływu elektronów w obwodzie i umowny kierunek prądu (6.7)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łączy według podanego schematu obwód elektryczny składający się ze źródła napięcia, odbiornika, wyłącznika, woltomierza i amperomierza (6.16d)</w:t>
            </w:r>
          </w:p>
        </w:tc>
        <w:tc>
          <w:tcPr>
            <w:tcW w:w="3084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mierzy napięcie na odbiorniku (6.9)</w:t>
            </w:r>
          </w:p>
        </w:tc>
      </w:tr>
      <w:tr w:rsidR="008D58BC" w:rsidRPr="006D1637">
        <w:tc>
          <w:tcPr>
            <w:tcW w:w="1892" w:type="dxa"/>
            <w:shd w:val="clear" w:color="auto" w:fill="auto"/>
            <w:tcMar>
              <w:left w:w="28" w:type="dxa"/>
              <w:right w:w="28" w:type="dxa"/>
            </w:tcMar>
          </w:tcPr>
          <w:p w:rsidR="008D58BC" w:rsidRPr="00D866F0" w:rsidRDefault="008D58BC" w:rsidP="008D58BC">
            <w:pPr>
              <w:rPr>
                <w:rFonts w:ascii="Calibri" w:hAnsi="Calibri"/>
                <w:spacing w:val="-4"/>
                <w:sz w:val="18"/>
                <w:szCs w:val="18"/>
              </w:rPr>
            </w:pPr>
            <w:r w:rsidRPr="00D866F0">
              <w:rPr>
                <w:rFonts w:ascii="Calibri" w:hAnsi="Calibri"/>
                <w:spacing w:val="-4"/>
                <w:sz w:val="18"/>
                <w:szCs w:val="18"/>
              </w:rPr>
              <w:t xml:space="preserve">10.3. </w:t>
            </w:r>
            <w:r w:rsidRPr="00D866F0">
              <w:rPr>
                <w:rFonts w:ascii="Calibri" w:hAnsi="Calibri"/>
                <w:sz w:val="18"/>
                <w:szCs w:val="18"/>
              </w:rPr>
              <w:t>Natężenie prądu elektrycznego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podaje jednostkę natężenia prądu (</w:t>
            </w:r>
            <w:smartTag w:uri="urn:schemas-microsoft-com:office:smarttags" w:element="metricconverter">
              <w:smartTagPr>
                <w:attr w:name="ProductID" w:val="1 A"/>
              </w:smartTagPr>
              <w:r w:rsidRPr="00D866F0">
                <w:rPr>
                  <w:szCs w:val="22"/>
                </w:rPr>
                <w:t>1 A</w:t>
              </w:r>
            </w:smartTag>
            <w:r w:rsidRPr="00D866F0">
              <w:rPr>
                <w:szCs w:val="22"/>
              </w:rPr>
              <w:t>) (6.8)</w:t>
            </w:r>
          </w:p>
        </w:tc>
        <w:tc>
          <w:tcPr>
            <w:tcW w:w="3078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 xml:space="preserve">oblicza natężenie prądu ze wzoru </w:t>
            </w:r>
            <w:r w:rsidR="000D2ED6">
              <w:rPr>
                <w:noProof/>
                <w:position w:val="-18"/>
              </w:rPr>
              <w:drawing>
                <wp:inline distT="0" distB="0" distL="0" distR="0">
                  <wp:extent cx="304800" cy="323850"/>
                  <wp:effectExtent l="0" t="0" r="0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6F0">
              <w:rPr>
                <w:szCs w:val="22"/>
              </w:rPr>
              <w:t xml:space="preserve"> (6.8)</w:t>
            </w:r>
          </w:p>
          <w:p w:rsidR="008D58BC" w:rsidRPr="00D866F0" w:rsidRDefault="008D58BC" w:rsidP="008D58BC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buduje prosty obwód prądu i mierzy natężenie prądu w tym obwodzie (6.8, 6.16d)</w:t>
            </w:r>
          </w:p>
        </w:tc>
        <w:tc>
          <w:tcPr>
            <w:tcW w:w="3083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 xml:space="preserve">objaśnia proporcjonalność </w:t>
            </w:r>
            <w:r w:rsidR="000D2ED6">
              <w:rPr>
                <w:noProof/>
                <w:position w:val="-8"/>
              </w:rPr>
              <w:drawing>
                <wp:inline distT="0" distB="0" distL="0" distR="0">
                  <wp:extent cx="266700" cy="152400"/>
                  <wp:effectExtent l="19050" t="0" r="0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6F0">
              <w:rPr>
                <w:szCs w:val="22"/>
              </w:rPr>
              <w:t xml:space="preserve"> (6.8)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 xml:space="preserve">oblicza każdą wielkość ze wzoru </w:t>
            </w:r>
            <w:r w:rsidR="000D2ED6">
              <w:rPr>
                <w:noProof/>
                <w:position w:val="-18"/>
              </w:rPr>
              <w:drawing>
                <wp:inline distT="0" distB="0" distL="0" distR="0">
                  <wp:extent cx="304800" cy="323850"/>
                  <wp:effectExtent l="0" t="0" r="0" b="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6F0">
              <w:rPr>
                <w:szCs w:val="22"/>
              </w:rPr>
              <w:t xml:space="preserve"> (6.8)</w:t>
            </w:r>
          </w:p>
        </w:tc>
        <w:tc>
          <w:tcPr>
            <w:tcW w:w="3084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przelicza jednostki ładunku (</w:t>
            </w:r>
            <w:smartTag w:uri="urn:schemas-microsoft-com:office:smarttags" w:element="metricconverter">
              <w:smartTagPr>
                <w:attr w:name="ProductID" w:val="1 C"/>
              </w:smartTagPr>
              <w:r w:rsidRPr="00D866F0">
                <w:rPr>
                  <w:szCs w:val="22"/>
                </w:rPr>
                <w:t>1 C</w:t>
              </w:r>
            </w:smartTag>
            <w:r w:rsidRPr="00D866F0">
              <w:rPr>
                <w:szCs w:val="22"/>
              </w:rPr>
              <w:t>, 1 Ah, 1 As) (6.8)</w:t>
            </w:r>
          </w:p>
        </w:tc>
      </w:tr>
      <w:tr w:rsidR="008D58BC" w:rsidRPr="006D1637">
        <w:tc>
          <w:tcPr>
            <w:tcW w:w="1892" w:type="dxa"/>
            <w:shd w:val="clear" w:color="auto" w:fill="auto"/>
            <w:tcMar>
              <w:left w:w="28" w:type="dxa"/>
              <w:right w:w="28" w:type="dxa"/>
            </w:tcMar>
          </w:tcPr>
          <w:p w:rsidR="008D58BC" w:rsidRPr="00D866F0" w:rsidRDefault="008D58BC" w:rsidP="008D58BC">
            <w:pPr>
              <w:rPr>
                <w:rFonts w:ascii="Calibri" w:hAnsi="Calibri"/>
                <w:spacing w:val="-4"/>
                <w:sz w:val="18"/>
                <w:szCs w:val="18"/>
              </w:rPr>
            </w:pPr>
            <w:r w:rsidRPr="00D866F0">
              <w:rPr>
                <w:rFonts w:ascii="Calibri" w:hAnsi="Calibri"/>
                <w:spacing w:val="-4"/>
                <w:sz w:val="18"/>
                <w:szCs w:val="18"/>
              </w:rPr>
              <w:t xml:space="preserve">10.4. </w:t>
            </w:r>
            <w:r w:rsidRPr="00D866F0">
              <w:rPr>
                <w:rFonts w:ascii="Calibri" w:hAnsi="Calibri"/>
                <w:sz w:val="18"/>
                <w:szCs w:val="18"/>
              </w:rPr>
              <w:t>Prawo Ohma. Opór elektryczny przewodnika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wyjaśnia, skąd się bierze opór przewodnika (6.12)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 xml:space="preserve">podaje jednostkę oporu elektrycznego </w:t>
            </w:r>
            <w:r w:rsidR="000D2ED6">
              <w:rPr>
                <w:noProof/>
                <w:position w:val="-10"/>
              </w:rPr>
              <w:drawing>
                <wp:inline distT="0" distB="0" distL="0" distR="0">
                  <wp:extent cx="266700" cy="171450"/>
                  <wp:effectExtent l="19050" t="0" r="0" b="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6F0">
              <w:rPr>
                <w:szCs w:val="22"/>
              </w:rPr>
              <w:t xml:space="preserve"> (6.12)</w:t>
            </w:r>
          </w:p>
        </w:tc>
        <w:tc>
          <w:tcPr>
            <w:tcW w:w="3078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 xml:space="preserve">oblicza opór przewodnika ze wzoru </w:t>
            </w:r>
            <w:r w:rsidR="000D2ED6">
              <w:rPr>
                <w:noProof/>
                <w:position w:val="-18"/>
              </w:rPr>
              <w:drawing>
                <wp:inline distT="0" distB="0" distL="0" distR="0">
                  <wp:extent cx="352425" cy="323850"/>
                  <wp:effectExtent l="0" t="0" r="0" b="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6F0">
              <w:rPr>
                <w:szCs w:val="22"/>
              </w:rPr>
              <w:t xml:space="preserve"> (6.12)</w:t>
            </w:r>
          </w:p>
        </w:tc>
        <w:tc>
          <w:tcPr>
            <w:tcW w:w="3083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objaśnia zależność wyrażoną przez prawo Ohma (6.12)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 xml:space="preserve">sporządza wykres zależności </w:t>
            </w:r>
            <w:r w:rsidRPr="00D866F0">
              <w:rPr>
                <w:i/>
                <w:szCs w:val="22"/>
              </w:rPr>
              <w:t>I</w:t>
            </w:r>
            <w:r w:rsidRPr="00D866F0">
              <w:rPr>
                <w:szCs w:val="22"/>
              </w:rPr>
              <w:t>(</w:t>
            </w:r>
            <w:r w:rsidRPr="00D866F0">
              <w:rPr>
                <w:i/>
                <w:szCs w:val="22"/>
              </w:rPr>
              <w:t>U</w:t>
            </w:r>
            <w:r w:rsidRPr="00D866F0">
              <w:rPr>
                <w:szCs w:val="22"/>
              </w:rPr>
              <w:t>) (1.8)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wyznacza opór elektryczny przewodnika (6.16e)</w:t>
            </w:r>
          </w:p>
          <w:p w:rsidR="008D58BC" w:rsidRPr="00D866F0" w:rsidRDefault="008D58BC" w:rsidP="008D58BC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 xml:space="preserve">oblicza każdą wielkość ze wzoru </w:t>
            </w:r>
            <w:r w:rsidR="000D2ED6">
              <w:rPr>
                <w:noProof/>
                <w:position w:val="-18"/>
              </w:rPr>
              <w:lastRenderedPageBreak/>
              <w:drawing>
                <wp:inline distT="0" distB="0" distL="0" distR="0">
                  <wp:extent cx="352425" cy="323850"/>
                  <wp:effectExtent l="0" t="0" r="0" b="0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6F0">
              <w:rPr>
                <w:szCs w:val="22"/>
              </w:rPr>
              <w:t xml:space="preserve"> (6.12)</w:t>
            </w:r>
          </w:p>
        </w:tc>
        <w:tc>
          <w:tcPr>
            <w:tcW w:w="3084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spacing w:before="0" w:after="0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8D58BC" w:rsidRPr="006D1637">
        <w:tc>
          <w:tcPr>
            <w:tcW w:w="1892" w:type="dxa"/>
            <w:shd w:val="clear" w:color="auto" w:fill="auto"/>
            <w:tcMar>
              <w:left w:w="28" w:type="dxa"/>
              <w:right w:w="28" w:type="dxa"/>
            </w:tcMar>
          </w:tcPr>
          <w:p w:rsidR="008D58BC" w:rsidRPr="00D866F0" w:rsidRDefault="008D58BC" w:rsidP="008D58BC">
            <w:pPr>
              <w:pStyle w:val="tabelabold"/>
              <w:rPr>
                <w:rFonts w:ascii="Calibri" w:hAnsi="Calibri"/>
                <w:b w:val="0"/>
                <w:szCs w:val="18"/>
              </w:rPr>
            </w:pPr>
            <w:r w:rsidRPr="00D866F0">
              <w:rPr>
                <w:rFonts w:ascii="Calibri" w:hAnsi="Calibri"/>
                <w:b w:val="0"/>
                <w:szCs w:val="18"/>
              </w:rPr>
              <w:lastRenderedPageBreak/>
              <w:t>10.5. Obwody elektryczne i ich schematy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posługuje się symbolami graficznymi elementów obwodów elektrycznych (6.13)</w:t>
            </w:r>
          </w:p>
        </w:tc>
        <w:tc>
          <w:tcPr>
            <w:tcW w:w="3078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rysuje schematy elektryczne prostych obwodów elektrycznych (6.13)</w:t>
            </w:r>
          </w:p>
        </w:tc>
        <w:tc>
          <w:tcPr>
            <w:tcW w:w="3083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spacing w:before="0" w:after="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łączy według podanego schematu prosty obwód elektryczny (6.16d)</w:t>
            </w:r>
          </w:p>
        </w:tc>
        <w:tc>
          <w:tcPr>
            <w:tcW w:w="3084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spacing w:before="0" w:after="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8D58BC" w:rsidRPr="006D1637">
        <w:tc>
          <w:tcPr>
            <w:tcW w:w="1892" w:type="dxa"/>
            <w:shd w:val="clear" w:color="auto" w:fill="auto"/>
            <w:tcMar>
              <w:left w:w="28" w:type="dxa"/>
              <w:right w:w="28" w:type="dxa"/>
            </w:tcMar>
          </w:tcPr>
          <w:p w:rsidR="008D58BC" w:rsidRPr="00D866F0" w:rsidRDefault="008D58BC" w:rsidP="008D58BC">
            <w:pPr>
              <w:rPr>
                <w:rFonts w:ascii="Calibri" w:hAnsi="Calibri"/>
                <w:spacing w:val="-4"/>
                <w:sz w:val="18"/>
                <w:szCs w:val="18"/>
              </w:rPr>
            </w:pPr>
            <w:r w:rsidRPr="00D866F0">
              <w:rPr>
                <w:rFonts w:ascii="Calibri" w:hAnsi="Calibri"/>
                <w:sz w:val="18"/>
                <w:szCs w:val="18"/>
              </w:rPr>
              <w:t>10.6.Rola izolacji elektrycznej i bezpieczników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opisuje rolę izolacji elektrycznej przewodu (6.14)</w:t>
            </w:r>
          </w:p>
        </w:tc>
        <w:tc>
          <w:tcPr>
            <w:tcW w:w="3078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wyjaśnia rolę bezpieczników w domowej instalacji elektrycznej (6.14)</w:t>
            </w:r>
          </w:p>
        </w:tc>
        <w:tc>
          <w:tcPr>
            <w:tcW w:w="3083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opisuje niebezpieczeństwa związane z używaniem prądu elektrycznego (6.14)</w:t>
            </w:r>
          </w:p>
        </w:tc>
        <w:tc>
          <w:tcPr>
            <w:tcW w:w="3084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wyjaśnia budowę domowej sieci elektrycznej (6.14)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opisuje równoległe połączenie odbiorników w sieci domowej (6.14)</w:t>
            </w:r>
          </w:p>
        </w:tc>
      </w:tr>
      <w:tr w:rsidR="008D58BC" w:rsidRPr="006D1637">
        <w:tc>
          <w:tcPr>
            <w:tcW w:w="1892" w:type="dxa"/>
            <w:shd w:val="clear" w:color="auto" w:fill="auto"/>
            <w:tcMar>
              <w:left w:w="28" w:type="dxa"/>
              <w:right w:w="28" w:type="dxa"/>
            </w:tcMar>
          </w:tcPr>
          <w:p w:rsidR="008D58BC" w:rsidRPr="00D866F0" w:rsidRDefault="008D58BC" w:rsidP="008D58BC">
            <w:pPr>
              <w:rPr>
                <w:rFonts w:ascii="Calibri" w:hAnsi="Calibri"/>
                <w:spacing w:val="-4"/>
                <w:sz w:val="18"/>
                <w:szCs w:val="18"/>
              </w:rPr>
            </w:pPr>
            <w:r w:rsidRPr="00D866F0">
              <w:rPr>
                <w:rFonts w:ascii="Calibri" w:hAnsi="Calibri"/>
                <w:spacing w:val="-4"/>
                <w:sz w:val="18"/>
                <w:szCs w:val="18"/>
              </w:rPr>
              <w:t>10.7.</w:t>
            </w:r>
            <w:r w:rsidRPr="00D866F0">
              <w:rPr>
                <w:rFonts w:ascii="Calibri" w:hAnsi="Calibri"/>
                <w:sz w:val="18"/>
                <w:szCs w:val="18"/>
              </w:rPr>
              <w:t>Praca i moc prądu elektrycznego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odczytuje dane znamionowe z tabliczki znamionowej odbiornika (6.10)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odczytuje z licznika zużytą energię elektryczną (6.10)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podaje jednostki pracy oraz mocy prądu i je przelicza (6.10)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podaje przykłady pracy wykonanej przez prąd elektryczny (6.10)</w:t>
            </w:r>
          </w:p>
        </w:tc>
        <w:tc>
          <w:tcPr>
            <w:tcW w:w="3078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 xml:space="preserve">oblicza pracę prądu elektrycznego ze wzoru </w:t>
            </w:r>
            <w:r w:rsidR="000D2ED6">
              <w:rPr>
                <w:noProof/>
                <w:position w:val="-6"/>
              </w:rPr>
              <w:drawing>
                <wp:inline distT="0" distB="0" distL="0" distR="0">
                  <wp:extent cx="419100" cy="152400"/>
                  <wp:effectExtent l="19050" t="0" r="0" b="0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6F0">
              <w:rPr>
                <w:szCs w:val="22"/>
              </w:rPr>
              <w:t xml:space="preserve"> (6.10)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 xml:space="preserve">oblicza moc prądu ze wzoru </w:t>
            </w:r>
            <w:r w:rsidR="000D2ED6">
              <w:rPr>
                <w:noProof/>
                <w:position w:val="-6"/>
              </w:rPr>
              <w:drawing>
                <wp:inline distT="0" distB="0" distL="0" distR="0">
                  <wp:extent cx="390525" cy="152400"/>
                  <wp:effectExtent l="0" t="0" r="0" b="0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6F0">
              <w:rPr>
                <w:szCs w:val="22"/>
              </w:rPr>
              <w:t xml:space="preserve"> (6.10)</w:t>
            </w:r>
          </w:p>
          <w:p w:rsidR="008D58BC" w:rsidRPr="00D866F0" w:rsidRDefault="008D58BC" w:rsidP="008D58BC">
            <w:pPr>
              <w:rPr>
                <w:rFonts w:ascii="Calibri" w:hAnsi="Calibri"/>
                <w:spacing w:val="-4"/>
                <w:sz w:val="18"/>
                <w:szCs w:val="18"/>
              </w:rPr>
            </w:pPr>
          </w:p>
        </w:tc>
        <w:tc>
          <w:tcPr>
            <w:tcW w:w="3083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opisuje przemiany energii elektrycznej w grzałce, silniku odkurzacza, żarówce (6.11)</w:t>
            </w:r>
          </w:p>
        </w:tc>
        <w:tc>
          <w:tcPr>
            <w:tcW w:w="3084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oblicza każdą z wielkości występujących we wzorach (6.10):</w:t>
            </w:r>
          </w:p>
          <w:p w:rsidR="008D58BC" w:rsidRPr="00D866F0" w:rsidRDefault="000D2ED6" w:rsidP="008D58BC">
            <w:pPr>
              <w:pStyle w:val="tabelakropka"/>
              <w:numPr>
                <w:ilvl w:val="0"/>
                <w:numId w:val="0"/>
              </w:numPr>
              <w:ind w:left="170"/>
              <w:rPr>
                <w:szCs w:val="22"/>
              </w:rPr>
            </w:pPr>
            <w:r>
              <w:rPr>
                <w:noProof/>
                <w:position w:val="-6"/>
              </w:rPr>
              <w:drawing>
                <wp:inline distT="0" distB="0" distL="0" distR="0">
                  <wp:extent cx="419100" cy="152400"/>
                  <wp:effectExtent l="19050" t="0" r="0" b="0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D58BC" w:rsidRPr="00D866F0">
              <w:rPr>
                <w:szCs w:val="22"/>
              </w:rPr>
              <w:br/>
            </w:r>
            <w:r w:rsidR="008D58BC" w:rsidRPr="00D866F0">
              <w:rPr>
                <w:position w:val="-20"/>
              </w:rPr>
              <w:object w:dxaOrig="760" w:dyaOrig="560">
                <v:shape id="_x0000_i1028" type="#_x0000_t75" style="width:38.25pt;height:27.75pt" o:ole="">
                  <v:imagedata r:id="rId24" o:title=""/>
                </v:shape>
                <o:OLEObject Type="Embed" ProgID="Equation.3" ShapeID="_x0000_i1028" DrawAspect="Content" ObjectID="_1849866780" r:id="rId25"/>
              </w:object>
            </w:r>
            <w:r w:rsidR="008D58BC" w:rsidRPr="00D866F0">
              <w:rPr>
                <w:szCs w:val="22"/>
              </w:rPr>
              <w:br/>
            </w:r>
            <w:r>
              <w:rPr>
                <w:noProof/>
                <w:position w:val="-6"/>
              </w:rPr>
              <w:drawing>
                <wp:inline distT="0" distB="0" distL="0" distR="0">
                  <wp:extent cx="485775" cy="161925"/>
                  <wp:effectExtent l="19050" t="0" r="9525" b="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spacing w:before="0" w:after="0"/>
              <w:ind w:left="170" w:hanging="170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8D58BC" w:rsidRPr="006D1637">
        <w:tc>
          <w:tcPr>
            <w:tcW w:w="1892" w:type="dxa"/>
            <w:shd w:val="clear" w:color="auto" w:fill="auto"/>
            <w:tcMar>
              <w:left w:w="28" w:type="dxa"/>
              <w:right w:w="28" w:type="dxa"/>
            </w:tcMar>
          </w:tcPr>
          <w:p w:rsidR="008D58BC" w:rsidRPr="00D866F0" w:rsidRDefault="008D58BC" w:rsidP="008D58BC">
            <w:pPr>
              <w:rPr>
                <w:rFonts w:ascii="Calibri" w:hAnsi="Calibri"/>
                <w:spacing w:val="-4"/>
                <w:sz w:val="18"/>
                <w:szCs w:val="18"/>
              </w:rPr>
            </w:pPr>
            <w:r w:rsidRPr="00D866F0">
              <w:rPr>
                <w:rFonts w:ascii="Calibri" w:hAnsi="Calibri"/>
                <w:sz w:val="18"/>
                <w:szCs w:val="18"/>
              </w:rPr>
              <w:t>10.8. Zmiana energii elektrycznej w inne formy energii. Wyznaczanie ciepła właściwego wody za pomocą czajnika elektrycznego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wykonuje pomiary masy wody, temperatury i czasu ogrzewania wody (1.3)</w:t>
            </w:r>
          </w:p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podaje rodzaj energii, w jaki zmienia się w tym doświadczeniu energia elektryczna (1.4, 4.10c, 6.11)</w:t>
            </w:r>
          </w:p>
        </w:tc>
        <w:tc>
          <w:tcPr>
            <w:tcW w:w="3078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opisuje sposób wykonania doświadczenia (4.10c)</w:t>
            </w:r>
          </w:p>
        </w:tc>
        <w:tc>
          <w:tcPr>
            <w:tcW w:w="3083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wykonuje obliczenia (1.6)</w:t>
            </w:r>
          </w:p>
        </w:tc>
        <w:tc>
          <w:tcPr>
            <w:tcW w:w="3084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 xml:space="preserve">objaśnia sposób dochodzenia do wzoru </w:t>
            </w:r>
            <w:r w:rsidRPr="00D866F0">
              <w:rPr>
                <w:position w:val="-20"/>
              </w:rPr>
              <w:object w:dxaOrig="760" w:dyaOrig="499">
                <v:shape id="_x0000_i1029" type="#_x0000_t75" style="width:38.25pt;height:25.5pt" o:ole="">
                  <v:imagedata r:id="rId27" o:title=""/>
                </v:shape>
                <o:OLEObject Type="Embed" ProgID="Equation.3" ShapeID="_x0000_i1029" DrawAspect="Content" ObjectID="_1849866781" r:id="rId28"/>
              </w:object>
            </w:r>
            <w:r w:rsidRPr="00D866F0">
              <w:rPr>
                <w:szCs w:val="22"/>
              </w:rPr>
              <w:t xml:space="preserve"> (4.10c)</w:t>
            </w:r>
          </w:p>
          <w:p w:rsidR="008D58BC" w:rsidRPr="00D866F0" w:rsidRDefault="008D58BC" w:rsidP="008D58BC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D866F0">
              <w:rPr>
                <w:szCs w:val="22"/>
              </w:rPr>
              <w:t>zaokrągla wynik do dwóch cyfr znaczących (1.6)</w:t>
            </w:r>
          </w:p>
        </w:tc>
      </w:tr>
      <w:tr w:rsidR="008D58BC" w:rsidRPr="006D1637">
        <w:tc>
          <w:tcPr>
            <w:tcW w:w="1892" w:type="dxa"/>
            <w:shd w:val="clear" w:color="auto" w:fill="auto"/>
            <w:tcMar>
              <w:left w:w="28" w:type="dxa"/>
              <w:right w:w="28" w:type="dxa"/>
            </w:tcMar>
          </w:tcPr>
          <w:p w:rsidR="008D58BC" w:rsidRPr="00D866F0" w:rsidRDefault="008D58BC" w:rsidP="008D58BC">
            <w:pPr>
              <w:rPr>
                <w:rFonts w:ascii="Calibri" w:hAnsi="Calibri"/>
                <w:sz w:val="18"/>
                <w:szCs w:val="18"/>
              </w:rPr>
            </w:pPr>
            <w:r w:rsidRPr="00D866F0">
              <w:rPr>
                <w:rFonts w:ascii="Calibri" w:hAnsi="Calibri"/>
                <w:sz w:val="18"/>
                <w:szCs w:val="18"/>
              </w:rPr>
              <w:t>10.9. Skutki przerwania dostaw energii elektrycznej do urządzeń o kluczowym znaczeniu</w:t>
            </w:r>
          </w:p>
        </w:tc>
        <w:tc>
          <w:tcPr>
            <w:tcW w:w="3081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ind w:left="170" w:hanging="170"/>
              <w:rPr>
                <w:szCs w:val="22"/>
              </w:rPr>
            </w:pPr>
          </w:p>
        </w:tc>
        <w:tc>
          <w:tcPr>
            <w:tcW w:w="3078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ind w:left="170"/>
              <w:rPr>
                <w:szCs w:val="22"/>
              </w:rPr>
            </w:pPr>
          </w:p>
        </w:tc>
        <w:tc>
          <w:tcPr>
            <w:tcW w:w="3083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numPr>
                <w:ilvl w:val="0"/>
                <w:numId w:val="0"/>
              </w:numPr>
              <w:ind w:left="170"/>
              <w:rPr>
                <w:szCs w:val="22"/>
              </w:rPr>
            </w:pPr>
          </w:p>
        </w:tc>
        <w:tc>
          <w:tcPr>
            <w:tcW w:w="3084" w:type="dxa"/>
            <w:shd w:val="clear" w:color="auto" w:fill="auto"/>
          </w:tcPr>
          <w:p w:rsidR="008D58BC" w:rsidRPr="00D866F0" w:rsidRDefault="008D58BC" w:rsidP="008D58BC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analizuje teksty źródłowe, w tym popularnonaukowe, i przygotowuje wypowiedź pisemną lub ustną (wym. ogólne IV)</w:t>
            </w:r>
          </w:p>
        </w:tc>
      </w:tr>
    </w:tbl>
    <w:p w:rsidR="00D96374" w:rsidRPr="006D1637" w:rsidRDefault="00D96374" w:rsidP="00D96374">
      <w:pPr>
        <w:pStyle w:val="tytu03"/>
        <w:spacing w:before="0"/>
        <w:rPr>
          <w:rFonts w:ascii="Calibri" w:hAnsi="Calibri"/>
          <w:spacing w:val="-4"/>
          <w:szCs w:val="22"/>
        </w:rPr>
      </w:pPr>
      <w:r>
        <w:rPr>
          <w:rFonts w:ascii="Calibri" w:hAnsi="Calibri"/>
          <w:spacing w:val="-4"/>
          <w:szCs w:val="22"/>
        </w:rPr>
        <w:t>11. O zjawiskach magnetycznych</w:t>
      </w:r>
    </w:p>
    <w:tbl>
      <w:tblPr>
        <w:tblW w:w="0" w:type="auto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33"/>
        <w:gridCol w:w="3016"/>
        <w:gridCol w:w="3037"/>
        <w:gridCol w:w="3016"/>
        <w:gridCol w:w="3016"/>
      </w:tblGrid>
      <w:tr w:rsidR="00D96374" w:rsidRPr="006D1637">
        <w:tc>
          <w:tcPr>
            <w:tcW w:w="2133" w:type="dxa"/>
            <w:shd w:val="clear" w:color="auto" w:fill="auto"/>
            <w:tcMar>
              <w:left w:w="57" w:type="dxa"/>
              <w:right w:w="57" w:type="dxa"/>
            </w:tcMar>
          </w:tcPr>
          <w:p w:rsidR="00D96374" w:rsidRPr="00D96374" w:rsidRDefault="00D96374" w:rsidP="00D963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>Temat według programu</w:t>
            </w:r>
          </w:p>
        </w:tc>
        <w:tc>
          <w:tcPr>
            <w:tcW w:w="3016" w:type="dxa"/>
            <w:shd w:val="clear" w:color="auto" w:fill="auto"/>
          </w:tcPr>
          <w:p w:rsidR="00D96374" w:rsidRPr="00D96374" w:rsidRDefault="00D96374" w:rsidP="00D963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:rsidR="00D96374" w:rsidRPr="00D96374" w:rsidRDefault="00D96374" w:rsidP="00D963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>(dopuszczająca)</w:t>
            </w:r>
          </w:p>
          <w:p w:rsidR="00D96374" w:rsidRPr="00D866F0" w:rsidRDefault="00D96374" w:rsidP="00D96374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037" w:type="dxa"/>
            <w:shd w:val="clear" w:color="auto" w:fill="auto"/>
          </w:tcPr>
          <w:p w:rsidR="00D96374" w:rsidRPr="00D96374" w:rsidRDefault="00D96374" w:rsidP="00D963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:rsidR="00D96374" w:rsidRPr="00D96374" w:rsidRDefault="00D96374" w:rsidP="00D963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>(dostateczna)</w:t>
            </w:r>
          </w:p>
          <w:p w:rsidR="00D96374" w:rsidRPr="00D866F0" w:rsidRDefault="00D96374" w:rsidP="00D96374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016" w:type="dxa"/>
            <w:shd w:val="clear" w:color="auto" w:fill="auto"/>
          </w:tcPr>
          <w:p w:rsidR="00D96374" w:rsidRPr="00D96374" w:rsidRDefault="00D96374" w:rsidP="00D963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:rsidR="00D96374" w:rsidRPr="00D96374" w:rsidRDefault="00D96374" w:rsidP="00D963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>(dobra)</w:t>
            </w:r>
          </w:p>
          <w:p w:rsidR="00D96374" w:rsidRPr="00D866F0" w:rsidRDefault="00D96374" w:rsidP="00D96374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016" w:type="dxa"/>
            <w:shd w:val="clear" w:color="auto" w:fill="auto"/>
          </w:tcPr>
          <w:p w:rsidR="00D96374" w:rsidRPr="00D96374" w:rsidRDefault="00D96374" w:rsidP="00D963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dopełniające </w:t>
            </w:r>
          </w:p>
          <w:p w:rsidR="00D96374" w:rsidRPr="00D96374" w:rsidRDefault="00D96374" w:rsidP="00D963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>(b. dobra i celująca)</w:t>
            </w:r>
          </w:p>
          <w:p w:rsidR="00D96374" w:rsidRPr="00D866F0" w:rsidRDefault="00D96374" w:rsidP="00D96374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D96374" w:rsidRPr="006D1637">
        <w:tc>
          <w:tcPr>
            <w:tcW w:w="2133" w:type="dxa"/>
            <w:shd w:val="clear" w:color="auto" w:fill="auto"/>
            <w:tcMar>
              <w:left w:w="57" w:type="dxa"/>
              <w:right w:w="57" w:type="dxa"/>
            </w:tcMar>
          </w:tcPr>
          <w:p w:rsidR="00D96374" w:rsidRPr="00D866F0" w:rsidRDefault="00D96374" w:rsidP="00D96374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D866F0">
              <w:rPr>
                <w:rFonts w:ascii="Calibri" w:hAnsi="Calibri"/>
                <w:spacing w:val="-4"/>
                <w:sz w:val="18"/>
                <w:szCs w:val="18"/>
              </w:rPr>
              <w:t xml:space="preserve">11.1. </w:t>
            </w:r>
            <w:r w:rsidRPr="00D866F0">
              <w:rPr>
                <w:rFonts w:ascii="Calibri" w:hAnsi="Calibri"/>
                <w:sz w:val="18"/>
                <w:szCs w:val="18"/>
              </w:rPr>
              <w:t>Właściwości magnesów trwałych</w:t>
            </w:r>
          </w:p>
        </w:tc>
        <w:tc>
          <w:tcPr>
            <w:tcW w:w="3016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podaje nazwy biegunów magnetycznych i opisuje oddziaływania między nimi (7.1)</w:t>
            </w:r>
          </w:p>
          <w:p w:rsidR="00D96374" w:rsidRPr="00D866F0" w:rsidRDefault="00D96374" w:rsidP="00D96374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lastRenderedPageBreak/>
              <w:t>opisuje i demonstruje zachowanie igły magnetycznej w pobliżu magnesu (7.1, 7.7a)</w:t>
            </w:r>
          </w:p>
          <w:p w:rsidR="00D96374" w:rsidRPr="00D866F0" w:rsidRDefault="00D96374" w:rsidP="00D96374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opisuje sposób posługiwania się kompasem (7.2)</w:t>
            </w:r>
          </w:p>
        </w:tc>
        <w:tc>
          <w:tcPr>
            <w:tcW w:w="3037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lastRenderedPageBreak/>
              <w:t>opisuje pole magnetyczne Ziemi (7.2)</w:t>
            </w:r>
          </w:p>
        </w:tc>
        <w:tc>
          <w:tcPr>
            <w:tcW w:w="3016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 xml:space="preserve">opisuje oddziaływanie magnesu na żelazo i podaje przykłady wykorzystania tego oddziaływania </w:t>
            </w:r>
            <w:r w:rsidRPr="00D866F0">
              <w:rPr>
                <w:szCs w:val="22"/>
              </w:rPr>
              <w:lastRenderedPageBreak/>
              <w:t>(7.3)</w:t>
            </w:r>
          </w:p>
        </w:tc>
        <w:tc>
          <w:tcPr>
            <w:tcW w:w="3016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lastRenderedPageBreak/>
              <w:t>do opisu oddziaływania magnetycznego używa pojęcia pola magnetycznego (7.2)</w:t>
            </w:r>
          </w:p>
        </w:tc>
      </w:tr>
      <w:tr w:rsidR="00D96374" w:rsidRPr="006D1637">
        <w:tc>
          <w:tcPr>
            <w:tcW w:w="2133" w:type="dxa"/>
            <w:shd w:val="clear" w:color="auto" w:fill="auto"/>
            <w:tcMar>
              <w:left w:w="57" w:type="dxa"/>
              <w:right w:w="57" w:type="dxa"/>
            </w:tcMar>
          </w:tcPr>
          <w:p w:rsidR="00D96374" w:rsidRPr="00D866F0" w:rsidRDefault="00D96374" w:rsidP="00D96374">
            <w:pPr>
              <w:pStyle w:val="tabelabold"/>
              <w:rPr>
                <w:rFonts w:ascii="Calibri" w:hAnsi="Calibri"/>
                <w:b w:val="0"/>
                <w:szCs w:val="18"/>
              </w:rPr>
            </w:pPr>
            <w:r w:rsidRPr="00D866F0">
              <w:rPr>
                <w:rFonts w:ascii="Calibri" w:hAnsi="Calibri"/>
                <w:b w:val="0"/>
                <w:szCs w:val="18"/>
              </w:rPr>
              <w:lastRenderedPageBreak/>
              <w:t>11.2. Przewodnik z prądem jako źródło pola magnetycznego.</w:t>
            </w:r>
          </w:p>
          <w:p w:rsidR="00D96374" w:rsidRPr="00D866F0" w:rsidRDefault="00D96374" w:rsidP="00D96374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D866F0">
              <w:rPr>
                <w:rFonts w:ascii="Calibri" w:hAnsi="Calibri"/>
                <w:sz w:val="18"/>
                <w:szCs w:val="18"/>
              </w:rPr>
              <w:t>Elektromagnes i jego zastosowania</w:t>
            </w:r>
          </w:p>
        </w:tc>
        <w:tc>
          <w:tcPr>
            <w:tcW w:w="3016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opisuje budowę elektromagnesu (7.5)</w:t>
            </w:r>
          </w:p>
          <w:p w:rsidR="00D96374" w:rsidRPr="00D866F0" w:rsidRDefault="00D96374" w:rsidP="00D963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demonstruje działanie  elektromagnesu na znajdujące się w pobliżu przedmioty żelazne i magnesy (7.5)</w:t>
            </w:r>
          </w:p>
        </w:tc>
        <w:tc>
          <w:tcPr>
            <w:tcW w:w="3037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demonstruje oddziaływanie prostoliniowego przewodnika z prądem na igłę magnetyczną umieszczoną w pobliżu (7.4, 7.7b)</w:t>
            </w:r>
          </w:p>
          <w:p w:rsidR="00D96374" w:rsidRPr="00D866F0" w:rsidRDefault="00D96374" w:rsidP="00D96374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16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opisuje rolę rdzenia w elektromagnesie (7.5)</w:t>
            </w:r>
          </w:p>
          <w:p w:rsidR="00D96374" w:rsidRPr="00D866F0" w:rsidRDefault="00D96374" w:rsidP="00D96374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wskazuje bieguny N i S elektromagnesu (7.5)</w:t>
            </w:r>
          </w:p>
        </w:tc>
        <w:tc>
          <w:tcPr>
            <w:tcW w:w="3016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wyjaśnia zachowanie igły magnetycznej z użyciem pojęcia pola magnetycznego wytworzonego przez prąd elektryczny (1.2, 7.4)</w:t>
            </w:r>
          </w:p>
        </w:tc>
      </w:tr>
      <w:tr w:rsidR="00D96374" w:rsidRPr="006D1637">
        <w:tc>
          <w:tcPr>
            <w:tcW w:w="2133" w:type="dxa"/>
            <w:shd w:val="clear" w:color="auto" w:fill="auto"/>
            <w:tcMar>
              <w:left w:w="57" w:type="dxa"/>
              <w:right w:w="57" w:type="dxa"/>
            </w:tcMar>
          </w:tcPr>
          <w:p w:rsidR="00D96374" w:rsidRPr="00D866F0" w:rsidRDefault="00D96374" w:rsidP="00D96374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D866F0">
              <w:rPr>
                <w:rFonts w:ascii="Calibri" w:hAnsi="Calibri"/>
                <w:spacing w:val="-4"/>
                <w:sz w:val="18"/>
                <w:szCs w:val="18"/>
              </w:rPr>
              <w:t xml:space="preserve">11.3. </w:t>
            </w:r>
            <w:r w:rsidRPr="00D866F0">
              <w:rPr>
                <w:rFonts w:ascii="Calibri" w:hAnsi="Calibri"/>
                <w:sz w:val="18"/>
                <w:szCs w:val="18"/>
              </w:rPr>
              <w:t>Silnik elektryczny na prąd stały</w:t>
            </w:r>
          </w:p>
        </w:tc>
        <w:tc>
          <w:tcPr>
            <w:tcW w:w="3016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numPr>
                <w:ilvl w:val="0"/>
                <w:numId w:val="0"/>
              </w:numPr>
              <w:spacing w:line="200" w:lineRule="exact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37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wskazujeoddziaływanie elektromagnesu z magnesem jako podstawę działania silnika na prąd stały (7.6)</w:t>
            </w:r>
          </w:p>
        </w:tc>
        <w:tc>
          <w:tcPr>
            <w:tcW w:w="3016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16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buduje model silnika na prąd stały i demonstruje jego działanie (1.3, 7.6)</w:t>
            </w:r>
          </w:p>
          <w:p w:rsidR="00D96374" w:rsidRPr="00D866F0" w:rsidRDefault="00D96374" w:rsidP="00D96374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podaje cechy prądu przemiennego wykorzystywanego w sieci energetycznej (wym. ogólne IV)</w:t>
            </w:r>
          </w:p>
        </w:tc>
      </w:tr>
      <w:tr w:rsidR="00D96374" w:rsidRPr="006D1637">
        <w:tc>
          <w:tcPr>
            <w:tcW w:w="2133" w:type="dxa"/>
            <w:shd w:val="clear" w:color="auto" w:fill="auto"/>
            <w:tcMar>
              <w:left w:w="57" w:type="dxa"/>
              <w:right w:w="57" w:type="dxa"/>
            </w:tcMar>
          </w:tcPr>
          <w:p w:rsidR="00D96374" w:rsidRPr="00D866F0" w:rsidRDefault="00D96374" w:rsidP="00D96374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D866F0">
              <w:rPr>
                <w:rFonts w:ascii="Calibri" w:hAnsi="Calibri"/>
                <w:spacing w:val="-4"/>
                <w:sz w:val="18"/>
                <w:szCs w:val="18"/>
              </w:rPr>
              <w:t xml:space="preserve">11.4. </w:t>
            </w:r>
            <w:r w:rsidRPr="00D866F0">
              <w:rPr>
                <w:rFonts w:ascii="Calibri" w:hAnsi="Calibri"/>
                <w:sz w:val="18"/>
                <w:szCs w:val="18"/>
              </w:rPr>
              <w:t>*Zjawisko indukcji elektromagnetycznej. Prądnica prądu przemiennego jako źródło energii elektrycznej</w:t>
            </w:r>
          </w:p>
        </w:tc>
        <w:tc>
          <w:tcPr>
            <w:tcW w:w="3016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numPr>
                <w:ilvl w:val="0"/>
                <w:numId w:val="0"/>
              </w:numPr>
              <w:spacing w:before="20" w:after="20"/>
              <w:ind w:left="170" w:hanging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037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wymienia różnice między prądem stałym i prądem przemiennym (1.2)</w:t>
            </w:r>
          </w:p>
          <w:p w:rsidR="00D96374" w:rsidRPr="00D866F0" w:rsidRDefault="00D96374" w:rsidP="00D96374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podaje przykłady praktycznego wykorzystania prądu stałego i przemiennego (1.1, 1.2)</w:t>
            </w:r>
          </w:p>
        </w:tc>
        <w:tc>
          <w:tcPr>
            <w:tcW w:w="3016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opisuje zasadę działania najprostszej prądnicy prądu przemiennego (1.1, 1.2, 1.3)</w:t>
            </w:r>
          </w:p>
        </w:tc>
        <w:tc>
          <w:tcPr>
            <w:tcW w:w="3016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doświadczalnie demonstruje, że zmieniające się pole magnetyczne jest źródłem prądu elektrycznego w zamkniętym obwodzie (1.3)</w:t>
            </w:r>
          </w:p>
        </w:tc>
      </w:tr>
      <w:tr w:rsidR="00D96374" w:rsidRPr="006D1637">
        <w:tc>
          <w:tcPr>
            <w:tcW w:w="2133" w:type="dxa"/>
            <w:shd w:val="clear" w:color="auto" w:fill="auto"/>
            <w:tcMar>
              <w:left w:w="57" w:type="dxa"/>
              <w:right w:w="57" w:type="dxa"/>
            </w:tcMar>
          </w:tcPr>
          <w:p w:rsidR="00D96374" w:rsidRPr="00D866F0" w:rsidRDefault="00D96374" w:rsidP="00D96374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  <w:r w:rsidRPr="00D866F0">
              <w:rPr>
                <w:rFonts w:ascii="Calibri" w:hAnsi="Calibri"/>
                <w:spacing w:val="-4"/>
                <w:sz w:val="18"/>
                <w:szCs w:val="18"/>
              </w:rPr>
              <w:t xml:space="preserve">11.5. </w:t>
            </w:r>
            <w:r w:rsidRPr="00D866F0">
              <w:rPr>
                <w:rFonts w:ascii="Calibri" w:hAnsi="Calibri"/>
                <w:sz w:val="18"/>
                <w:szCs w:val="18"/>
              </w:rPr>
              <w:t>Fale elektromagnetyczne. Rodzaje i przykłady zastosowań</w:t>
            </w:r>
          </w:p>
        </w:tc>
        <w:tc>
          <w:tcPr>
            <w:tcW w:w="3016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nazywa rodzaje fal elektromagnetycznych  (9.12)</w:t>
            </w:r>
          </w:p>
          <w:p w:rsidR="00D96374" w:rsidRPr="00D866F0" w:rsidRDefault="00D96374" w:rsidP="00D96374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</w:p>
        </w:tc>
        <w:tc>
          <w:tcPr>
            <w:tcW w:w="3037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line="200" w:lineRule="exact"/>
              <w:rPr>
                <w:rFonts w:ascii="Calibri" w:hAnsi="Calibri"/>
                <w:szCs w:val="18"/>
              </w:rPr>
            </w:pPr>
            <w:r w:rsidRPr="00D866F0">
              <w:rPr>
                <w:szCs w:val="22"/>
              </w:rPr>
              <w:t>podaje przykłady zastosowania fal elektromagnetycznych (9.12)</w:t>
            </w:r>
          </w:p>
        </w:tc>
        <w:tc>
          <w:tcPr>
            <w:tcW w:w="3016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podaje właściwości różnych rodzajów fal elektromagnetycznych (rozchodzenie się w próżni, szybkość rozchodzenia się, różne długości fali) (9.12)</w:t>
            </w:r>
          </w:p>
          <w:p w:rsidR="00D96374" w:rsidRPr="00D866F0" w:rsidRDefault="00D96374" w:rsidP="00D96374">
            <w:pPr>
              <w:spacing w:before="20" w:after="20"/>
              <w:rPr>
                <w:rFonts w:ascii="Calibri" w:hAnsi="Calibri"/>
                <w:spacing w:val="-4"/>
                <w:sz w:val="18"/>
                <w:szCs w:val="18"/>
              </w:rPr>
            </w:pPr>
          </w:p>
        </w:tc>
        <w:tc>
          <w:tcPr>
            <w:tcW w:w="3016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analizuje teksty źródłowe, w tym popularnonaukowe, i przygotowuje wypowiedź pisemną lub ustną na temat zastosowań fal elektromagnetycznych (wym. ogólne IV)</w:t>
            </w:r>
          </w:p>
        </w:tc>
      </w:tr>
    </w:tbl>
    <w:p w:rsidR="00D96374" w:rsidRPr="006D1637" w:rsidRDefault="00D96374" w:rsidP="00D96374">
      <w:pPr>
        <w:pStyle w:val="tytu03"/>
        <w:spacing w:before="0"/>
        <w:rPr>
          <w:rFonts w:ascii="Calibri" w:hAnsi="Calibri"/>
          <w:spacing w:val="-4"/>
          <w:szCs w:val="22"/>
        </w:rPr>
      </w:pPr>
      <w:r>
        <w:rPr>
          <w:rFonts w:ascii="Calibri" w:hAnsi="Calibri"/>
          <w:spacing w:val="-4"/>
          <w:szCs w:val="22"/>
        </w:rPr>
        <w:t>12. Optyka, czyli nauka o świetle</w:t>
      </w:r>
    </w:p>
    <w:tbl>
      <w:tblPr>
        <w:tblW w:w="0" w:type="auto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02"/>
        <w:gridCol w:w="3069"/>
        <w:gridCol w:w="3085"/>
        <w:gridCol w:w="3085"/>
        <w:gridCol w:w="3077"/>
      </w:tblGrid>
      <w:tr w:rsidR="00D96374" w:rsidRPr="006D1637">
        <w:tc>
          <w:tcPr>
            <w:tcW w:w="1908" w:type="dxa"/>
            <w:shd w:val="clear" w:color="auto" w:fill="auto"/>
            <w:tcMar>
              <w:left w:w="57" w:type="dxa"/>
              <w:right w:w="57" w:type="dxa"/>
            </w:tcMar>
          </w:tcPr>
          <w:p w:rsidR="00D96374" w:rsidRPr="00D96374" w:rsidRDefault="00D96374" w:rsidP="00D963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>Temat według programu</w:t>
            </w:r>
          </w:p>
        </w:tc>
        <w:tc>
          <w:tcPr>
            <w:tcW w:w="3119" w:type="dxa"/>
            <w:shd w:val="clear" w:color="auto" w:fill="auto"/>
          </w:tcPr>
          <w:p w:rsidR="00D96374" w:rsidRPr="00D96374" w:rsidRDefault="00D96374" w:rsidP="00D963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:rsidR="00D96374" w:rsidRPr="00D96374" w:rsidRDefault="00D96374" w:rsidP="00D963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>(dopuszczająca)</w:t>
            </w:r>
          </w:p>
          <w:p w:rsidR="00D96374" w:rsidRPr="00D866F0" w:rsidRDefault="00D96374" w:rsidP="00D96374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119" w:type="dxa"/>
            <w:shd w:val="clear" w:color="auto" w:fill="auto"/>
          </w:tcPr>
          <w:p w:rsidR="00D96374" w:rsidRPr="00D96374" w:rsidRDefault="00D96374" w:rsidP="00D963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:rsidR="00D96374" w:rsidRPr="00D96374" w:rsidRDefault="00D96374" w:rsidP="00D963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>(dostateczna)</w:t>
            </w:r>
          </w:p>
          <w:p w:rsidR="00D96374" w:rsidRPr="00D866F0" w:rsidRDefault="00D96374" w:rsidP="00D96374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119" w:type="dxa"/>
            <w:shd w:val="clear" w:color="auto" w:fill="auto"/>
          </w:tcPr>
          <w:p w:rsidR="00D96374" w:rsidRPr="00D96374" w:rsidRDefault="00D96374" w:rsidP="00D963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:rsidR="00D96374" w:rsidRPr="00D96374" w:rsidRDefault="00D96374" w:rsidP="00D963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>(dobra)</w:t>
            </w:r>
          </w:p>
          <w:p w:rsidR="00D96374" w:rsidRPr="00D866F0" w:rsidRDefault="00D96374" w:rsidP="00D96374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3119" w:type="dxa"/>
            <w:shd w:val="clear" w:color="auto" w:fill="auto"/>
          </w:tcPr>
          <w:p w:rsidR="00D96374" w:rsidRPr="00D96374" w:rsidRDefault="00D96374" w:rsidP="00D963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 xml:space="preserve">Wymagania dopełniające </w:t>
            </w:r>
          </w:p>
          <w:p w:rsidR="00D96374" w:rsidRPr="00D96374" w:rsidRDefault="00D96374" w:rsidP="00D96374">
            <w:pPr>
              <w:jc w:val="center"/>
              <w:rPr>
                <w:rFonts w:ascii="Calibri" w:hAnsi="Calibri"/>
                <w:b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>(b. dobra i celująca)</w:t>
            </w:r>
          </w:p>
          <w:p w:rsidR="00D96374" w:rsidRPr="00D866F0" w:rsidRDefault="00D96374" w:rsidP="00D96374">
            <w:pPr>
              <w:rPr>
                <w:rFonts w:ascii="Calibri" w:hAnsi="Calibri"/>
                <w:b/>
                <w:color w:val="FFFFFF"/>
                <w:spacing w:val="-4"/>
                <w:sz w:val="18"/>
                <w:szCs w:val="18"/>
              </w:rPr>
            </w:pPr>
            <w:r w:rsidRPr="00D96374">
              <w:rPr>
                <w:rFonts w:ascii="Calibri" w:hAnsi="Calibr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D96374" w:rsidRPr="006D1637">
        <w:tc>
          <w:tcPr>
            <w:tcW w:w="1908" w:type="dxa"/>
            <w:shd w:val="clear" w:color="auto" w:fill="auto"/>
            <w:tcMar>
              <w:left w:w="57" w:type="dxa"/>
              <w:right w:w="57" w:type="dxa"/>
            </w:tcMar>
          </w:tcPr>
          <w:p w:rsidR="00D96374" w:rsidRPr="00D866F0" w:rsidRDefault="00D96374" w:rsidP="00D96374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D866F0">
              <w:rPr>
                <w:rFonts w:ascii="Calibri" w:hAnsi="Calibri"/>
                <w:b w:val="0"/>
                <w:spacing w:val="-4"/>
                <w:szCs w:val="18"/>
              </w:rPr>
              <w:t>12.1.</w:t>
            </w:r>
            <w:r w:rsidRPr="00D866F0">
              <w:rPr>
                <w:b w:val="0"/>
                <w:szCs w:val="22"/>
              </w:rPr>
              <w:t>Źródła światła. Powstawanie cienia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>podaje przykłady źródeł światła (9.1)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>opisuje sposób wykazania, że światło rozchodzi się po liniach prostych (9.1)</w:t>
            </w:r>
          </w:p>
          <w:p w:rsidR="00D96374" w:rsidRPr="00D866F0" w:rsidRDefault="00D96374" w:rsidP="00D96374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demonstruje prostoliniowe rozchodzenie się światła (9.14a)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before="0" w:line="252" w:lineRule="auto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wyjaśnia powstawanie obszarów cienia i półcienia za pomocą prostoliniowego rozchodzenia się światła w ośrodku jednorodnym (9.1)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D96374" w:rsidRPr="006D1637">
        <w:tc>
          <w:tcPr>
            <w:tcW w:w="1908" w:type="dxa"/>
            <w:shd w:val="clear" w:color="auto" w:fill="auto"/>
            <w:tcMar>
              <w:left w:w="57" w:type="dxa"/>
              <w:right w:w="57" w:type="dxa"/>
            </w:tcMar>
          </w:tcPr>
          <w:p w:rsidR="00D96374" w:rsidRPr="00D866F0" w:rsidRDefault="00D96374" w:rsidP="00D96374">
            <w:pPr>
              <w:pStyle w:val="tabelabold"/>
              <w:rPr>
                <w:b w:val="0"/>
                <w:szCs w:val="22"/>
              </w:rPr>
            </w:pPr>
            <w:r w:rsidRPr="00D866F0">
              <w:rPr>
                <w:b w:val="0"/>
                <w:szCs w:val="22"/>
              </w:rPr>
              <w:lastRenderedPageBreak/>
              <w:t>12.2. Odbicie światła. Obrazy otrzymywane w zwierciadle płaskim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demonstruje powstawanie obrazów w zwierciadle płaskim (9.4, 9.14a)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>opisuje zjawisko odbicia światła od powierzchni gładkiej, wskazuje kąt padania i kąt odbicia (9.2)</w:t>
            </w:r>
          </w:p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>opisuje zjawisko rozproszenia światła na powierzchniach chropowatych (9.3)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podaje cechy obrazu otrzymanego w zwierciadle płaskim (9.14a)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>rysuje konstrukcyjnie obrazy otrzymywane w zwierciadle płaskim (9.5)</w:t>
            </w:r>
          </w:p>
          <w:p w:rsidR="00D96374" w:rsidRPr="00D866F0" w:rsidRDefault="00D96374" w:rsidP="00D96374">
            <w:pPr>
              <w:pStyle w:val="tabelakropka"/>
              <w:numPr>
                <w:ilvl w:val="0"/>
                <w:numId w:val="0"/>
              </w:numPr>
              <w:spacing w:before="20" w:after="20"/>
              <w:ind w:left="170" w:hanging="170"/>
              <w:rPr>
                <w:rFonts w:ascii="Calibri" w:hAnsi="Calibri"/>
                <w:spacing w:val="-4"/>
                <w:szCs w:val="18"/>
              </w:rPr>
            </w:pPr>
          </w:p>
        </w:tc>
      </w:tr>
      <w:tr w:rsidR="00D96374" w:rsidRPr="006D1637">
        <w:tc>
          <w:tcPr>
            <w:tcW w:w="1908" w:type="dxa"/>
            <w:shd w:val="clear" w:color="auto" w:fill="auto"/>
            <w:tcMar>
              <w:left w:w="57" w:type="dxa"/>
              <w:right w:w="57" w:type="dxa"/>
            </w:tcMar>
          </w:tcPr>
          <w:p w:rsidR="00D96374" w:rsidRPr="00D866F0" w:rsidRDefault="00D96374" w:rsidP="00D96374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D866F0">
              <w:rPr>
                <w:rFonts w:ascii="Calibri" w:hAnsi="Calibri"/>
                <w:b w:val="0"/>
                <w:spacing w:val="-4"/>
                <w:szCs w:val="18"/>
              </w:rPr>
              <w:t>12.3.</w:t>
            </w:r>
            <w:r w:rsidRPr="00D866F0">
              <w:rPr>
                <w:b w:val="0"/>
                <w:szCs w:val="22"/>
              </w:rPr>
              <w:t>Otrzymywanie obrazów w zwierciadłach kulistych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>szkicuje zwierciadła kuliste wklęsłe i wypukłe (9.4)</w:t>
            </w:r>
          </w:p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>wskazuje oś optyczną główną, ognisko, ogniskową i promień krzywizny zwierciadła (9.4)</w:t>
            </w:r>
          </w:p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>wykreśla bieg wiązki promieni równoległych do osi optycznej po odbiciu od zwierciadła (9.4)</w:t>
            </w:r>
          </w:p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>podaje przykłady praktycznego zastosowania zwierciadeł (9.5)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>na podstawie obserwacji powstawania obrazów (9.14a) wymienia cechy obrazów otrzymywanych w zwierciadle kulistym (9.5)</w:t>
            </w:r>
          </w:p>
          <w:p w:rsidR="00D96374" w:rsidRPr="00D866F0" w:rsidRDefault="00D96374" w:rsidP="00D96374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>rysuje konstrukcyjnie obrazy otrzymywane za pomocą zwierciadła wklęsłego(9.5)</w:t>
            </w:r>
          </w:p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>demonstruje powstawanie obrazów w zwierciadłach wklęsłych i wypukłych (9.4, 9.14a)</w:t>
            </w:r>
          </w:p>
          <w:p w:rsidR="00D96374" w:rsidRPr="00D866F0" w:rsidRDefault="00D96374" w:rsidP="00D96374">
            <w:pPr>
              <w:pStyle w:val="tabelakropka"/>
              <w:numPr>
                <w:ilvl w:val="0"/>
                <w:numId w:val="0"/>
              </w:numPr>
              <w:spacing w:before="40"/>
              <w:ind w:left="170" w:hanging="170"/>
              <w:rPr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>rysuje konstrukcyjnie ognisko pozorne zwierciadła wypukłego i objaśnia jego powstawanie (9.4, 9.5)</w:t>
            </w:r>
          </w:p>
          <w:p w:rsidR="00D96374" w:rsidRPr="00D866F0" w:rsidRDefault="00D96374" w:rsidP="00D96374">
            <w:pPr>
              <w:pStyle w:val="tabelakropka"/>
              <w:spacing w:before="20" w:after="20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rysuje konstrukcyjnie obrazy otrzymywane za pomocą zwierciadła wypukłego(9.5)</w:t>
            </w:r>
          </w:p>
        </w:tc>
      </w:tr>
      <w:tr w:rsidR="00D96374" w:rsidRPr="006D1637">
        <w:tc>
          <w:tcPr>
            <w:tcW w:w="1908" w:type="dxa"/>
            <w:shd w:val="clear" w:color="auto" w:fill="auto"/>
            <w:tcMar>
              <w:left w:w="57" w:type="dxa"/>
              <w:right w:w="57" w:type="dxa"/>
            </w:tcMar>
          </w:tcPr>
          <w:p w:rsidR="00D96374" w:rsidRPr="00D866F0" w:rsidRDefault="00D96374" w:rsidP="00D96374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D866F0">
              <w:rPr>
                <w:rFonts w:ascii="Calibri" w:hAnsi="Calibri"/>
                <w:b w:val="0"/>
                <w:spacing w:val="-4"/>
                <w:szCs w:val="18"/>
              </w:rPr>
              <w:t>12.4.</w:t>
            </w:r>
            <w:r w:rsidRPr="00D866F0">
              <w:rPr>
                <w:b w:val="0"/>
                <w:szCs w:val="22"/>
              </w:rPr>
              <w:t>Załamanie światła na granicy dwóch ośrodków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>demonstruje zjawisko załamania światła (9.14a)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szkicuje przejście światła przez granicę dwóch ośrodków, wskazuje kąt padania i kąt załamania (9.6)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line="252" w:lineRule="auto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wyjaśnia zależność zmiany biegu wiązki promienia przy przejściu przez granicę dwóch ośrodków od szybkości rozchodzenia się światła w tych ośrodkach (9.6)</w:t>
            </w:r>
          </w:p>
        </w:tc>
      </w:tr>
      <w:tr w:rsidR="00D96374" w:rsidRPr="006D1637">
        <w:tc>
          <w:tcPr>
            <w:tcW w:w="1908" w:type="dxa"/>
            <w:shd w:val="clear" w:color="auto" w:fill="auto"/>
            <w:tcMar>
              <w:left w:w="57" w:type="dxa"/>
              <w:right w:w="57" w:type="dxa"/>
            </w:tcMar>
          </w:tcPr>
          <w:p w:rsidR="00D96374" w:rsidRPr="00D866F0" w:rsidRDefault="00D96374" w:rsidP="00D96374">
            <w:pPr>
              <w:pStyle w:val="tabelabold"/>
              <w:spacing w:before="20" w:after="20"/>
              <w:rPr>
                <w:rFonts w:ascii="Calibri" w:hAnsi="Calibri"/>
                <w:b w:val="0"/>
                <w:spacing w:val="-4"/>
                <w:szCs w:val="18"/>
              </w:rPr>
            </w:pPr>
            <w:r w:rsidRPr="00D866F0">
              <w:rPr>
                <w:b w:val="0"/>
                <w:szCs w:val="22"/>
              </w:rPr>
              <w:t>12.5. Przejście wiązki światła białego przez pryzmat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>opisuje światło białe jako mieszaninę barw (9.10)</w:t>
            </w:r>
          </w:p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>rozpoznaje tęczę jako efekt rozszczepienia światła słonecznego (9.10)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>wyjaśnia rozszczepienie światła białego w pryzmacie (9.10)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>wyjaśnia pojęcie światła jednobarwnego (monochromatycznego) i prezentuje je za pomocą wskaźnika laserowego (9.11)</w:t>
            </w:r>
          </w:p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>wyjaśnia, na czym polega widzenie barwne (9.10)</w:t>
            </w:r>
          </w:p>
          <w:p w:rsidR="00D96374" w:rsidRPr="00D866F0" w:rsidRDefault="00D96374" w:rsidP="00D96374">
            <w:pPr>
              <w:pStyle w:val="tabelakropka"/>
              <w:spacing w:before="20" w:after="20"/>
              <w:rPr>
                <w:rFonts w:ascii="Calibri" w:hAnsi="Calibri"/>
                <w:szCs w:val="18"/>
              </w:rPr>
            </w:pPr>
            <w:r w:rsidRPr="00D866F0">
              <w:rPr>
                <w:szCs w:val="22"/>
              </w:rPr>
              <w:t>demonstruje rozszczepienie światła w pryzmacie (9.14c)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numPr>
                <w:ilvl w:val="0"/>
                <w:numId w:val="0"/>
              </w:numPr>
              <w:spacing w:line="252" w:lineRule="auto"/>
              <w:rPr>
                <w:rFonts w:ascii="Calibri" w:hAnsi="Calibri"/>
                <w:szCs w:val="18"/>
              </w:rPr>
            </w:pPr>
          </w:p>
        </w:tc>
      </w:tr>
      <w:tr w:rsidR="00D96374" w:rsidRPr="006D1637">
        <w:tc>
          <w:tcPr>
            <w:tcW w:w="1908" w:type="dxa"/>
            <w:shd w:val="clear" w:color="auto" w:fill="auto"/>
            <w:tcMar>
              <w:left w:w="57" w:type="dxa"/>
              <w:right w:w="57" w:type="dxa"/>
            </w:tcMar>
          </w:tcPr>
          <w:p w:rsidR="00D96374" w:rsidRPr="00D866F0" w:rsidRDefault="00D96374" w:rsidP="00D96374">
            <w:pPr>
              <w:pStyle w:val="tabelabold"/>
              <w:spacing w:before="20" w:after="20"/>
              <w:rPr>
                <w:b w:val="0"/>
                <w:szCs w:val="22"/>
              </w:rPr>
            </w:pPr>
            <w:r w:rsidRPr="00D866F0">
              <w:rPr>
                <w:b w:val="0"/>
                <w:szCs w:val="22"/>
              </w:rPr>
              <w:t>12.6. Soczewki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opisuje bieg promieni równoległych do osi optycznej, przechodzących przez soczewkę skupiającą i rozpraszającą (9.7)</w:t>
            </w:r>
          </w:p>
          <w:p w:rsidR="00D96374" w:rsidRPr="00D866F0" w:rsidRDefault="00D96374" w:rsidP="00D96374">
            <w:pPr>
              <w:pStyle w:val="tabelakropka"/>
              <w:spacing w:before="20" w:after="20"/>
              <w:rPr>
                <w:rFonts w:ascii="Calibri" w:hAnsi="Calibri"/>
                <w:szCs w:val="18"/>
              </w:rPr>
            </w:pPr>
            <w:r w:rsidRPr="00D866F0">
              <w:rPr>
                <w:szCs w:val="22"/>
              </w:rPr>
              <w:t>posługuje się pojęciem ogniska, ogniskowej i osi optycznej (9.7)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pacing w:val="-4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doświadczalnie znajduje ognisko i mierzy ogniskową soczewki skupiającej (9.7)</w:t>
            </w:r>
          </w:p>
          <w:p w:rsidR="00D96374" w:rsidRPr="00D866F0" w:rsidRDefault="00D96374" w:rsidP="00D96374">
            <w:pPr>
              <w:pStyle w:val="tabelakropka"/>
              <w:spacing w:before="20" w:after="20"/>
              <w:rPr>
                <w:rFonts w:ascii="Calibri" w:hAnsi="Calibri"/>
                <w:szCs w:val="18"/>
              </w:rPr>
            </w:pPr>
            <w:r w:rsidRPr="00D866F0">
              <w:rPr>
                <w:szCs w:val="22"/>
              </w:rPr>
              <w:t xml:space="preserve">oblicza zdolność skupiającą soczewki ze wzoru </w:t>
            </w:r>
            <w:r w:rsidR="000D2ED6">
              <w:rPr>
                <w:noProof/>
                <w:position w:val="-24"/>
              </w:rPr>
              <w:drawing>
                <wp:inline distT="0" distB="0" distL="0" distR="0">
                  <wp:extent cx="342900" cy="333375"/>
                  <wp:effectExtent l="0" t="0" r="0" b="0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6F0">
              <w:rPr>
                <w:szCs w:val="22"/>
              </w:rPr>
              <w:t xml:space="preserve"> i wyraża ją w dioptriach (9.7)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numPr>
                <w:ilvl w:val="0"/>
                <w:numId w:val="0"/>
              </w:numPr>
              <w:spacing w:line="252" w:lineRule="auto"/>
              <w:ind w:left="170"/>
              <w:rPr>
                <w:rFonts w:ascii="Calibri" w:hAnsi="Calibri"/>
                <w:szCs w:val="18"/>
              </w:rPr>
            </w:pPr>
          </w:p>
        </w:tc>
      </w:tr>
      <w:tr w:rsidR="00D96374" w:rsidRPr="006D1637">
        <w:tc>
          <w:tcPr>
            <w:tcW w:w="1908" w:type="dxa"/>
            <w:shd w:val="clear" w:color="auto" w:fill="auto"/>
            <w:tcMar>
              <w:left w:w="57" w:type="dxa"/>
              <w:right w:w="57" w:type="dxa"/>
            </w:tcMar>
          </w:tcPr>
          <w:p w:rsidR="00D96374" w:rsidRPr="00D866F0" w:rsidRDefault="00D96374" w:rsidP="00D96374">
            <w:pPr>
              <w:pStyle w:val="tabelabold"/>
              <w:spacing w:before="20" w:after="20"/>
              <w:rPr>
                <w:b w:val="0"/>
                <w:szCs w:val="22"/>
              </w:rPr>
            </w:pPr>
            <w:r w:rsidRPr="00D866F0">
              <w:rPr>
                <w:b w:val="0"/>
                <w:szCs w:val="22"/>
              </w:rPr>
              <w:lastRenderedPageBreak/>
              <w:t>12.7. Obrazy otrzymywane za pomocą soczewek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before="20" w:after="20"/>
              <w:rPr>
                <w:rFonts w:ascii="Calibri" w:hAnsi="Calibri"/>
                <w:szCs w:val="18"/>
              </w:rPr>
            </w:pPr>
            <w:r w:rsidRPr="00D866F0">
              <w:rPr>
                <w:szCs w:val="22"/>
              </w:rPr>
              <w:t>rozróżnia obrazy rzeczywiste, pozorne, proste, odwrócone, powiększone, pomniejszone (9.8)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wytwarza za pomocą soczewki skupiającej ostry obraz przedmiotu na ekranie (9.14a, 9.14b)</w:t>
            </w:r>
          </w:p>
          <w:p w:rsidR="00D96374" w:rsidRPr="00D866F0" w:rsidRDefault="00D96374" w:rsidP="00D96374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rysuje konstrukcje obrazów otrzymywanych za pomocą soczewek skupiających i rozpraszających (9.8)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="Calibri" w:hAnsi="Calibri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D866F0">
              <w:rPr>
                <w:szCs w:val="22"/>
              </w:rPr>
              <w:t>na podstawie materiałów źródłowych opisuje zasadę działania prostych przyrządów optycznych (wym. ogólne IV)</w:t>
            </w:r>
          </w:p>
        </w:tc>
      </w:tr>
      <w:tr w:rsidR="00D96374" w:rsidRPr="006D1637">
        <w:tc>
          <w:tcPr>
            <w:tcW w:w="1908" w:type="dxa"/>
            <w:shd w:val="clear" w:color="auto" w:fill="auto"/>
            <w:tcMar>
              <w:left w:w="57" w:type="dxa"/>
              <w:right w:w="57" w:type="dxa"/>
            </w:tcMar>
          </w:tcPr>
          <w:p w:rsidR="00D96374" w:rsidRPr="00D866F0" w:rsidRDefault="00D96374" w:rsidP="00D96374">
            <w:pPr>
              <w:pStyle w:val="tabelabold"/>
              <w:spacing w:before="20" w:after="20"/>
              <w:rPr>
                <w:b w:val="0"/>
                <w:szCs w:val="22"/>
              </w:rPr>
            </w:pPr>
            <w:r w:rsidRPr="00D866F0">
              <w:rPr>
                <w:b w:val="0"/>
                <w:szCs w:val="22"/>
              </w:rPr>
              <w:t>12.8. Wady wzroku. Krótkowzroczność i dalekowzroczność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wyjaśnia, na czym polegają krótkowzroczność i dalekowzroczność (9.9)</w:t>
            </w:r>
          </w:p>
          <w:p w:rsidR="00D96374" w:rsidRPr="00D866F0" w:rsidRDefault="00D96374" w:rsidP="00D96374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podaje rodzaje soczewek (skupiająca, rozpraszająca) do korygowania wad wzroku (9.9)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rPr>
                <w:szCs w:val="22"/>
              </w:rPr>
            </w:pPr>
            <w:r w:rsidRPr="00D866F0">
              <w:rPr>
                <w:szCs w:val="22"/>
              </w:rPr>
              <w:t>opisuje rolę soczewek w korygowaniu wad wzroku (9.9)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D866F0">
              <w:rPr>
                <w:szCs w:val="22"/>
              </w:rPr>
              <w:t>podaje znak zdolności skupiającej soczewek korygujących krótkowzroczność i dalekowzroczność (9.9)</w:t>
            </w:r>
          </w:p>
        </w:tc>
      </w:tr>
      <w:tr w:rsidR="00D96374" w:rsidRPr="006D1637">
        <w:tc>
          <w:tcPr>
            <w:tcW w:w="1908" w:type="dxa"/>
            <w:shd w:val="clear" w:color="auto" w:fill="auto"/>
            <w:tcMar>
              <w:left w:w="57" w:type="dxa"/>
              <w:right w:w="57" w:type="dxa"/>
            </w:tcMar>
          </w:tcPr>
          <w:p w:rsidR="00D96374" w:rsidRPr="00D866F0" w:rsidRDefault="00D96374" w:rsidP="00D96374">
            <w:pPr>
              <w:pStyle w:val="tabelabold"/>
              <w:spacing w:before="20" w:after="20"/>
              <w:rPr>
                <w:b w:val="0"/>
                <w:szCs w:val="22"/>
              </w:rPr>
            </w:pPr>
            <w:r w:rsidRPr="00D866F0">
              <w:rPr>
                <w:b w:val="0"/>
                <w:szCs w:val="22"/>
              </w:rPr>
              <w:t>12.9. Porównujemy fale mechaniczne i elektromagnetyczne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="Calibri" w:hAnsi="Calibri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>wymienia cechy wspólne i różnice w rozchodzeniu się fal mechanicznych i elektromagnetycznych (9.13)</w:t>
            </w:r>
          </w:p>
          <w:p w:rsidR="00D96374" w:rsidRPr="00D866F0" w:rsidRDefault="00D96374" w:rsidP="00D96374">
            <w:pPr>
              <w:pStyle w:val="tabelakropka"/>
              <w:rPr>
                <w:rFonts w:ascii="Calibri" w:hAnsi="Calibri"/>
                <w:spacing w:val="-4"/>
                <w:szCs w:val="18"/>
              </w:rPr>
            </w:pPr>
            <w:r w:rsidRPr="00D866F0">
              <w:rPr>
                <w:szCs w:val="22"/>
              </w:rPr>
              <w:t>wymienia sposoby przekazywania informacji i wskazuje znaczenie fal elektromagnetycznych dla człowieka (9.13)</w:t>
            </w: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before="40"/>
              <w:rPr>
                <w:szCs w:val="22"/>
              </w:rPr>
            </w:pPr>
            <w:r w:rsidRPr="00D866F0">
              <w:rPr>
                <w:szCs w:val="22"/>
              </w:rPr>
              <w:t xml:space="preserve">wykorzystuje do obliczeń związek </w:t>
            </w:r>
            <w:r w:rsidR="000D2ED6">
              <w:rPr>
                <w:noProof/>
                <w:position w:val="-24"/>
              </w:rPr>
              <w:drawing>
                <wp:inline distT="0" distB="0" distL="0" distR="0">
                  <wp:extent cx="333375" cy="333375"/>
                  <wp:effectExtent l="0" t="0" r="0" b="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6F0">
              <w:rPr>
                <w:szCs w:val="22"/>
              </w:rPr>
              <w:t xml:space="preserve"> (9.13)</w:t>
            </w:r>
          </w:p>
          <w:p w:rsidR="00D96374" w:rsidRPr="00D866F0" w:rsidRDefault="00D96374" w:rsidP="00D96374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="Calibri" w:hAnsi="Calibri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D96374" w:rsidRPr="00D866F0" w:rsidRDefault="00D96374" w:rsidP="00D96374">
            <w:pPr>
              <w:pStyle w:val="tabelakropka"/>
              <w:spacing w:line="252" w:lineRule="auto"/>
              <w:rPr>
                <w:rFonts w:ascii="Calibri" w:hAnsi="Calibri"/>
                <w:szCs w:val="18"/>
              </w:rPr>
            </w:pPr>
            <w:r w:rsidRPr="00D866F0">
              <w:rPr>
                <w:szCs w:val="22"/>
              </w:rPr>
              <w:t>wyjaśnia transport energii przez fale elektromagnetyczne (9.13)</w:t>
            </w:r>
          </w:p>
        </w:tc>
      </w:tr>
    </w:tbl>
    <w:p w:rsidR="00117442" w:rsidRDefault="00117442"/>
    <w:sectPr w:rsidR="00117442" w:rsidSect="008D58BC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12176"/>
    <w:multiLevelType w:val="multilevel"/>
    <w:tmpl w:val="30627AC4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">
    <w:nsid w:val="74C91E6B"/>
    <w:multiLevelType w:val="hybridMultilevel"/>
    <w:tmpl w:val="FA703B28"/>
    <w:lvl w:ilvl="0" w:tplc="D3E45154">
      <w:start w:val="1"/>
      <w:numFmt w:val="bullet"/>
      <w:pStyle w:val="tabelakropka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hyphenationZone w:val="425"/>
  <w:characterSpacingControl w:val="doNotCompress"/>
  <w:compat/>
  <w:rsids>
    <w:rsidRoot w:val="008D58BC"/>
    <w:rsid w:val="000D2ED6"/>
    <w:rsid w:val="000F6C2F"/>
    <w:rsid w:val="00117442"/>
    <w:rsid w:val="003C07DA"/>
    <w:rsid w:val="00672BB6"/>
    <w:rsid w:val="008D58BC"/>
    <w:rsid w:val="00D96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customStyle="1" w:styleId="ListParagraph">
    <w:name w:val="List Paragraph"/>
    <w:basedOn w:val="Normalny"/>
    <w:rsid w:val="008D58BC"/>
    <w:pPr>
      <w:ind w:left="720"/>
    </w:pPr>
    <w:rPr>
      <w:rFonts w:eastAsia="Calibri"/>
    </w:rPr>
  </w:style>
  <w:style w:type="paragraph" w:customStyle="1" w:styleId="tytu01">
    <w:name w:val="tytuł 01"/>
    <w:basedOn w:val="Normalny"/>
    <w:rsid w:val="008D58BC"/>
    <w:pPr>
      <w:spacing w:before="240" w:after="120"/>
    </w:pPr>
    <w:rPr>
      <w:rFonts w:eastAsia="Calibri"/>
      <w:b/>
      <w:sz w:val="32"/>
    </w:rPr>
  </w:style>
  <w:style w:type="paragraph" w:customStyle="1" w:styleId="tabelakropka">
    <w:name w:val="tabela kropka"/>
    <w:basedOn w:val="Normalny"/>
    <w:link w:val="tabelakropkaZnak"/>
    <w:rsid w:val="008D58BC"/>
    <w:pPr>
      <w:numPr>
        <w:numId w:val="2"/>
      </w:numPr>
      <w:spacing w:before="60" w:after="60"/>
    </w:pPr>
    <w:rPr>
      <w:rFonts w:eastAsia="Calibri"/>
      <w:sz w:val="18"/>
    </w:rPr>
  </w:style>
  <w:style w:type="character" w:customStyle="1" w:styleId="tabelakropkaZnak">
    <w:name w:val="tabela kropka Znak"/>
    <w:link w:val="tabelakropka"/>
    <w:locked/>
    <w:rsid w:val="008D58BC"/>
    <w:rPr>
      <w:rFonts w:eastAsia="Calibri"/>
      <w:sz w:val="18"/>
      <w:szCs w:val="24"/>
      <w:lang w:val="pl-PL" w:eastAsia="pl-PL" w:bidi="ar-SA"/>
    </w:rPr>
  </w:style>
  <w:style w:type="paragraph" w:customStyle="1" w:styleId="tabelabold">
    <w:name w:val="tabela bold"/>
    <w:basedOn w:val="Normalny"/>
    <w:link w:val="tabelaboldZnak"/>
    <w:rsid w:val="008D58BC"/>
    <w:pPr>
      <w:spacing w:before="60" w:after="60"/>
    </w:pPr>
    <w:rPr>
      <w:rFonts w:eastAsia="Calibri"/>
      <w:b/>
      <w:sz w:val="18"/>
    </w:rPr>
  </w:style>
  <w:style w:type="character" w:customStyle="1" w:styleId="tabelaboldZnak">
    <w:name w:val="tabela bold Znak"/>
    <w:link w:val="tabelabold"/>
    <w:locked/>
    <w:rsid w:val="008D58BC"/>
    <w:rPr>
      <w:rFonts w:eastAsia="Calibri"/>
      <w:b/>
      <w:sz w:val="18"/>
      <w:szCs w:val="24"/>
      <w:lang w:val="pl-PL" w:eastAsia="pl-PL" w:bidi="ar-SA"/>
    </w:rPr>
  </w:style>
  <w:style w:type="paragraph" w:customStyle="1" w:styleId="tytu03">
    <w:name w:val="tytuł 03"/>
    <w:basedOn w:val="Normalny"/>
    <w:link w:val="tytu03Znak"/>
    <w:rsid w:val="008D58BC"/>
    <w:pPr>
      <w:spacing w:before="120" w:after="120"/>
    </w:pPr>
    <w:rPr>
      <w:rFonts w:eastAsia="Calibri"/>
      <w:b/>
      <w:sz w:val="22"/>
    </w:rPr>
  </w:style>
  <w:style w:type="character" w:customStyle="1" w:styleId="tytu03Znak">
    <w:name w:val="tytuł 03 Znak"/>
    <w:link w:val="tytu03"/>
    <w:locked/>
    <w:rsid w:val="008D58BC"/>
    <w:rPr>
      <w:rFonts w:eastAsia="Calibri"/>
      <w:b/>
      <w:sz w:val="22"/>
      <w:szCs w:val="24"/>
      <w:lang w:val="pl-PL" w:eastAsia="pl-PL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7.wmf"/><Relationship Id="rId18" Type="http://schemas.openxmlformats.org/officeDocument/2006/relationships/image" Target="media/image11.wmf"/><Relationship Id="rId26" Type="http://schemas.openxmlformats.org/officeDocument/2006/relationships/image" Target="media/image18.wmf"/><Relationship Id="rId3" Type="http://schemas.openxmlformats.org/officeDocument/2006/relationships/settings" Target="settings.xml"/><Relationship Id="rId21" Type="http://schemas.openxmlformats.org/officeDocument/2006/relationships/image" Target="media/image14.wmf"/><Relationship Id="rId7" Type="http://schemas.openxmlformats.org/officeDocument/2006/relationships/image" Target="media/image2.png"/><Relationship Id="rId12" Type="http://schemas.openxmlformats.org/officeDocument/2006/relationships/image" Target="media/image6.wmf"/><Relationship Id="rId17" Type="http://schemas.openxmlformats.org/officeDocument/2006/relationships/image" Target="media/image10.wmf"/><Relationship Id="rId25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image" Target="media/image13.wmf"/><Relationship Id="rId29" Type="http://schemas.openxmlformats.org/officeDocument/2006/relationships/image" Target="media/image20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24" Type="http://schemas.openxmlformats.org/officeDocument/2006/relationships/image" Target="media/image17.wmf"/><Relationship Id="rId32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9.wmf"/><Relationship Id="rId23" Type="http://schemas.openxmlformats.org/officeDocument/2006/relationships/image" Target="media/image16.wmf"/><Relationship Id="rId28" Type="http://schemas.openxmlformats.org/officeDocument/2006/relationships/oleObject" Target="embeddings/oleObject5.bin"/><Relationship Id="rId10" Type="http://schemas.openxmlformats.org/officeDocument/2006/relationships/image" Target="media/image4.wmf"/><Relationship Id="rId19" Type="http://schemas.openxmlformats.org/officeDocument/2006/relationships/image" Target="media/image12.w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8.wmf"/><Relationship Id="rId22" Type="http://schemas.openxmlformats.org/officeDocument/2006/relationships/image" Target="media/image15.wmf"/><Relationship Id="rId27" Type="http://schemas.openxmlformats.org/officeDocument/2006/relationships/image" Target="media/image19.wmf"/><Relationship Id="rId30" Type="http://schemas.openxmlformats.org/officeDocument/2006/relationships/image" Target="media/image2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2595</Words>
  <Characters>15576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DARSON</dc:creator>
  <cp:lastModifiedBy>SP45 V</cp:lastModifiedBy>
  <cp:revision>2</cp:revision>
  <dcterms:created xsi:type="dcterms:W3CDTF">2026-09-02T13:06:00Z</dcterms:created>
  <dcterms:modified xsi:type="dcterms:W3CDTF">2026-09-02T13:06:00Z</dcterms:modified>
</cp:coreProperties>
</file>